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jc w:val="center"/>
      </w:pPr>
      <w:r>
        <w:rPr>
          <w:rStyle w:val="4"/>
        </w:rPr>
        <w:t>重庆市大足区海棠新城开发区管理委员会</w:t>
      </w:r>
    </w:p>
    <w:p>
      <w:pPr>
        <w:pStyle w:val="2"/>
        <w:keepNext w:val="0"/>
        <w:keepLines w:val="0"/>
        <w:widowControl/>
        <w:suppressLineNumbers w:val="0"/>
        <w:jc w:val="center"/>
      </w:pPr>
      <w:r>
        <w:rPr>
          <w:rStyle w:val="4"/>
        </w:rPr>
        <w:t>2022年度部门决算情况说明</w:t>
      </w:r>
    </w:p>
    <w:p>
      <w:pPr>
        <w:pStyle w:val="2"/>
        <w:keepNext w:val="0"/>
        <w:keepLines w:val="0"/>
        <w:widowControl/>
        <w:suppressLineNumbers w:val="0"/>
      </w:pPr>
      <w:r>
        <w:rPr>
          <w:rStyle w:val="4"/>
        </w:rPr>
        <w:t>一、部门基本情况</w:t>
      </w:r>
    </w:p>
    <w:p>
      <w:pPr>
        <w:pStyle w:val="2"/>
        <w:keepNext w:val="0"/>
        <w:keepLines w:val="0"/>
        <w:widowControl/>
        <w:suppressLineNumbers w:val="0"/>
        <w:jc w:val="left"/>
      </w:pPr>
      <w:r>
        <w:rPr>
          <w:rStyle w:val="4"/>
        </w:rPr>
        <w:t>（一）职能职责</w:t>
      </w:r>
    </w:p>
    <w:p>
      <w:pPr>
        <w:pStyle w:val="2"/>
        <w:keepNext w:val="0"/>
        <w:keepLines w:val="0"/>
        <w:widowControl/>
        <w:suppressLineNumbers w:val="0"/>
        <w:jc w:val="left"/>
        <w:rPr>
          <w:rFonts w:hint="eastAsia"/>
        </w:rPr>
      </w:pPr>
      <w:r>
        <w:rPr>
          <w:rFonts w:hint="eastAsia"/>
        </w:rPr>
        <w:t>海棠新城管委会的主要职能职责为：编制海棠新城开发区经济、社会发展规划，经区政府批准后负责组织实施；依据国家法律、法规和有关规定编制海棠新城开发区内项目的审批和申报；根据海棠新城开发区总体规划和土地利用规划，依法进行开发和管理；负责组织实施新城开发区内各项基础设施的建设和管理；负责新城开发区内企业的服务、管理及经济运行分析工作；负责海棠新城开发区招商引资工作；根据区委、区政府的授权，负责海棠新城开发区内相关工作的牵头管理和全面协调工作；承办区委、区政府交办的其他事项。</w:t>
      </w:r>
    </w:p>
    <w:p>
      <w:pPr>
        <w:pStyle w:val="2"/>
        <w:keepNext w:val="0"/>
        <w:keepLines w:val="0"/>
        <w:widowControl/>
        <w:suppressLineNumbers w:val="0"/>
        <w:jc w:val="left"/>
      </w:pPr>
      <w:r>
        <w:rPr>
          <w:rStyle w:val="4"/>
        </w:rPr>
        <w:t>（二）机构设置</w:t>
      </w:r>
    </w:p>
    <w:p>
      <w:pPr>
        <w:pStyle w:val="2"/>
        <w:keepNext w:val="0"/>
        <w:keepLines w:val="0"/>
        <w:widowControl/>
        <w:suppressLineNumbers w:val="0"/>
        <w:jc w:val="left"/>
        <w:rPr>
          <w:rFonts w:hint="eastAsia"/>
        </w:rPr>
      </w:pPr>
      <w:r>
        <w:rPr>
          <w:rFonts w:hint="eastAsia"/>
        </w:rPr>
        <w:t>重庆市大足区海棠新城管理委员会为行政单位，其下级单位重庆市大足区海棠新城开发区招商服务中心为事业单位，在工作开展中，两个单位合并为一个部门核算，并进行预决算管理。</w:t>
      </w:r>
    </w:p>
    <w:p>
      <w:pPr>
        <w:pStyle w:val="2"/>
        <w:keepNext w:val="0"/>
        <w:keepLines w:val="0"/>
        <w:widowControl/>
        <w:suppressLineNumbers w:val="0"/>
        <w:jc w:val="left"/>
      </w:pPr>
      <w:r>
        <w:rPr>
          <w:rStyle w:val="4"/>
        </w:rPr>
        <w:t>（三）单位构成</w:t>
      </w:r>
    </w:p>
    <w:p>
      <w:pPr>
        <w:pStyle w:val="2"/>
        <w:keepNext w:val="0"/>
        <w:keepLines w:val="0"/>
        <w:widowControl/>
        <w:suppressLineNumbers w:val="0"/>
        <w:jc w:val="left"/>
        <w:rPr>
          <w:rFonts w:hint="eastAsia"/>
          <w:lang w:eastAsia="zh-CN"/>
        </w:rPr>
      </w:pPr>
      <w:r>
        <w:rPr>
          <w:rFonts w:hint="eastAsia"/>
        </w:rPr>
        <w:t>从预算单位构成看，纳入本部门2022年度决算编制的二级预算单位主要包括</w:t>
      </w:r>
      <w:r>
        <w:rPr>
          <w:rFonts w:hint="eastAsia"/>
          <w:lang w:eastAsia="zh-CN"/>
        </w:rPr>
        <w:t>：</w:t>
      </w:r>
      <w:r>
        <w:rPr>
          <w:rFonts w:hint="eastAsia"/>
        </w:rPr>
        <w:t>海棠新城</w:t>
      </w:r>
      <w:r>
        <w:rPr>
          <w:rFonts w:hint="eastAsia"/>
          <w:lang w:eastAsia="zh-CN"/>
        </w:rPr>
        <w:t>开发区</w:t>
      </w:r>
      <w:r>
        <w:rPr>
          <w:rFonts w:hint="eastAsia"/>
        </w:rPr>
        <w:t>管委会</w:t>
      </w:r>
      <w:r>
        <w:rPr>
          <w:rFonts w:hint="eastAsia"/>
          <w:lang w:eastAsia="zh-CN"/>
        </w:rPr>
        <w:t>（本级），</w:t>
      </w:r>
      <w:r>
        <w:rPr>
          <w:rFonts w:hint="eastAsia"/>
        </w:rPr>
        <w:t>重庆市大足区海棠新城开发区招商服务中心</w:t>
      </w:r>
      <w:r>
        <w:rPr>
          <w:rFonts w:hint="eastAsia"/>
          <w:lang w:eastAsia="zh-CN"/>
        </w:rPr>
        <w:t>。</w:t>
      </w:r>
    </w:p>
    <w:p>
      <w:pPr>
        <w:pStyle w:val="2"/>
        <w:keepNext w:val="0"/>
        <w:keepLines w:val="0"/>
        <w:widowControl/>
        <w:suppressLineNumbers w:val="0"/>
        <w:jc w:val="left"/>
      </w:pPr>
      <w:r>
        <w:rPr>
          <w:rStyle w:val="4"/>
        </w:rPr>
        <w:t>二、部门决算情况说明</w:t>
      </w:r>
    </w:p>
    <w:p>
      <w:pPr>
        <w:pStyle w:val="2"/>
        <w:keepNext w:val="0"/>
        <w:keepLines w:val="0"/>
        <w:widowControl/>
        <w:suppressLineNumbers w:val="0"/>
        <w:jc w:val="left"/>
      </w:pPr>
      <w:r>
        <w:rPr>
          <w:rStyle w:val="4"/>
        </w:rPr>
        <w:t>（一）收入支出决算总体情况说明</w:t>
      </w:r>
    </w:p>
    <w:p>
      <w:pPr>
        <w:pStyle w:val="2"/>
        <w:keepNext w:val="0"/>
        <w:keepLines w:val="0"/>
        <w:widowControl/>
        <w:suppressLineNumbers w:val="0"/>
        <w:jc w:val="left"/>
        <w:rPr>
          <w:rFonts w:hint="eastAsia"/>
          <w:lang w:val="en-US" w:eastAsia="zh-CN"/>
        </w:rPr>
      </w:pPr>
      <w:r>
        <w:rPr>
          <w:rStyle w:val="4"/>
        </w:rPr>
        <w:t>1.总体情况。</w:t>
      </w:r>
      <w:r>
        <w:t>2022年度收入总计136,125.60万元，支出总计136,125.60万元。收支较上年决算数增加</w:t>
      </w:r>
      <w:bookmarkStart w:id="0" w:name="OLE_LINK1"/>
      <w:r>
        <w:rPr>
          <w:rFonts w:hint="eastAsia"/>
          <w:lang w:val="en-US" w:eastAsia="zh-CN"/>
        </w:rPr>
        <w:t>130608.45</w:t>
      </w:r>
      <w:bookmarkEnd w:id="0"/>
      <w:r>
        <w:t>万元,增长</w:t>
      </w:r>
      <w:r>
        <w:rPr>
          <w:rFonts w:hint="eastAsia"/>
          <w:lang w:val="en-US" w:eastAsia="zh-CN"/>
        </w:rPr>
        <w:t>2367.32</w:t>
      </w:r>
      <w:r>
        <w:t>%，主要原因是</w:t>
      </w:r>
      <w:r>
        <w:rPr>
          <w:rFonts w:hint="eastAsia"/>
          <w:lang w:val="en-US" w:eastAsia="zh-CN"/>
        </w:rPr>
        <w:t>2022年</w:t>
      </w:r>
      <w:bookmarkStart w:id="1" w:name="OLE_LINK2"/>
      <w:r>
        <w:rPr>
          <w:rFonts w:hint="eastAsia"/>
          <w:lang w:eastAsia="zh-CN"/>
        </w:rPr>
        <w:t>项目经费增加，本年新增 海棠新城职业教育城①②③等项目</w:t>
      </w:r>
      <w:r>
        <w:rPr>
          <w:rFonts w:hint="eastAsia"/>
          <w:lang w:val="en-US" w:eastAsia="zh-CN"/>
        </w:rPr>
        <w:t>60227万元</w:t>
      </w:r>
      <w:r>
        <w:rPr>
          <w:rFonts w:hint="eastAsia"/>
          <w:lang w:eastAsia="zh-CN"/>
        </w:rPr>
        <w:t>， 化债资金（调）</w:t>
      </w:r>
      <w:r>
        <w:rPr>
          <w:rFonts w:hint="eastAsia"/>
          <w:lang w:val="en-US" w:eastAsia="zh-CN"/>
        </w:rPr>
        <w:t>50000万元，天宫河片区开发项目20000万元。</w:t>
      </w:r>
    </w:p>
    <w:bookmarkEnd w:id="1"/>
    <w:p>
      <w:pPr>
        <w:pStyle w:val="2"/>
        <w:keepNext w:val="0"/>
        <w:keepLines w:val="0"/>
        <w:widowControl/>
        <w:suppressLineNumbers w:val="0"/>
        <w:jc w:val="left"/>
      </w:pPr>
      <w:r>
        <w:rPr>
          <w:rStyle w:val="4"/>
        </w:rPr>
        <w:t>2.收入情况。</w:t>
      </w:r>
      <w:r>
        <w:t>2</w:t>
      </w:r>
      <w:bookmarkStart w:id="2" w:name="OLE_LINK3"/>
      <w:r>
        <w:t>022年度收入合计136,125.60万元，较上年决算数增加</w:t>
      </w:r>
      <w:r>
        <w:rPr>
          <w:rFonts w:hint="eastAsia"/>
          <w:lang w:val="en-US" w:eastAsia="zh-CN"/>
        </w:rPr>
        <w:t>130608.45</w:t>
      </w:r>
      <w:r>
        <w:t>万元，增长</w:t>
      </w:r>
      <w:r>
        <w:rPr>
          <w:rFonts w:hint="eastAsia"/>
          <w:lang w:val="en-US" w:eastAsia="zh-CN"/>
        </w:rPr>
        <w:t>2367.32</w:t>
      </w:r>
      <w:r>
        <w:t>%，主要原因是</w:t>
      </w:r>
      <w:r>
        <w:rPr>
          <w:rFonts w:hint="eastAsia"/>
          <w:lang w:val="en-US" w:eastAsia="zh-CN"/>
        </w:rPr>
        <w:t>2022年</w:t>
      </w:r>
      <w:bookmarkStart w:id="3" w:name="OLE_LINK9"/>
      <w:r>
        <w:rPr>
          <w:rFonts w:hint="eastAsia"/>
          <w:lang w:eastAsia="zh-CN"/>
        </w:rPr>
        <w:t>项目经费增加，本年新增海棠新城职业教育城①②③等项目</w:t>
      </w:r>
      <w:r>
        <w:rPr>
          <w:rFonts w:hint="eastAsia"/>
          <w:lang w:val="en-US" w:eastAsia="zh-CN"/>
        </w:rPr>
        <w:t>60227万元</w:t>
      </w:r>
      <w:r>
        <w:rPr>
          <w:rFonts w:hint="eastAsia"/>
          <w:lang w:eastAsia="zh-CN"/>
        </w:rPr>
        <w:t>， 化债资金（调）</w:t>
      </w:r>
      <w:r>
        <w:rPr>
          <w:rFonts w:hint="eastAsia"/>
          <w:lang w:val="en-US" w:eastAsia="zh-CN"/>
        </w:rPr>
        <w:t>50000万元，天宫河片区开发项目20000万元。</w:t>
      </w:r>
      <w:bookmarkEnd w:id="2"/>
      <w:bookmarkEnd w:id="3"/>
      <w:r>
        <w:t>其中：财政拨款收入136,125.60万元，占100%</w:t>
      </w:r>
      <w:r>
        <w:rPr>
          <w:rFonts w:hint="eastAsia"/>
          <w:lang w:eastAsia="zh-CN"/>
        </w:rPr>
        <w:t>。</w:t>
      </w:r>
    </w:p>
    <w:p>
      <w:pPr>
        <w:pStyle w:val="2"/>
        <w:keepNext w:val="0"/>
        <w:keepLines w:val="0"/>
        <w:widowControl/>
        <w:suppressLineNumbers w:val="0"/>
        <w:jc w:val="left"/>
      </w:pPr>
      <w:r>
        <w:rPr>
          <w:rStyle w:val="4"/>
        </w:rPr>
        <w:t>3.支出情况。</w:t>
      </w:r>
      <w:r>
        <w:t>2022年度支出合计136,125.60万元，较上年决算增加136,125.60万元，增长</w:t>
      </w:r>
      <w:r>
        <w:rPr>
          <w:rFonts w:hint="eastAsia"/>
          <w:lang w:val="en-US" w:eastAsia="zh-CN"/>
        </w:rPr>
        <w:t>100</w:t>
      </w:r>
      <w:r>
        <w:t>%，主要原因是</w:t>
      </w:r>
      <w:r>
        <w:rPr>
          <w:rFonts w:hint="eastAsia"/>
          <w:lang w:val="en-US" w:eastAsia="zh-CN"/>
        </w:rPr>
        <w:t>2022年</w:t>
      </w:r>
      <w:r>
        <w:rPr>
          <w:rFonts w:hint="eastAsia"/>
          <w:lang w:eastAsia="zh-CN"/>
        </w:rPr>
        <w:t>项目经费增加，本年新增 海棠新城职业教育城①②③等项目</w:t>
      </w:r>
      <w:r>
        <w:rPr>
          <w:rFonts w:hint="eastAsia"/>
          <w:lang w:val="en-US" w:eastAsia="zh-CN"/>
        </w:rPr>
        <w:t>60227万元</w:t>
      </w:r>
      <w:r>
        <w:rPr>
          <w:rFonts w:hint="eastAsia"/>
          <w:lang w:eastAsia="zh-CN"/>
        </w:rPr>
        <w:t>， 化债资金（调）</w:t>
      </w:r>
      <w:r>
        <w:rPr>
          <w:rFonts w:hint="eastAsia"/>
          <w:lang w:val="en-US" w:eastAsia="zh-CN"/>
        </w:rPr>
        <w:t>50000万元，天宫河片区开发项目20000万元。</w:t>
      </w:r>
      <w:r>
        <w:t>其中：基本支出398.57万元，占0.3%；项目支出135,727.03万元，占99.7%</w:t>
      </w:r>
      <w:r>
        <w:rPr>
          <w:rFonts w:hint="eastAsia"/>
          <w:lang w:eastAsia="zh-CN"/>
        </w:rPr>
        <w:t>。</w:t>
      </w:r>
    </w:p>
    <w:p>
      <w:pPr>
        <w:pStyle w:val="2"/>
        <w:keepNext w:val="0"/>
        <w:keepLines w:val="0"/>
        <w:widowControl/>
        <w:suppressLineNumbers w:val="0"/>
        <w:jc w:val="left"/>
        <w:rPr>
          <w:rFonts w:hint="eastAsia" w:eastAsiaTheme="minorEastAsia"/>
          <w:lang w:eastAsia="zh-CN"/>
        </w:rPr>
      </w:pPr>
      <w:r>
        <w:rPr>
          <w:rStyle w:val="4"/>
        </w:rPr>
        <w:t>4.结转结余情况。</w:t>
      </w:r>
      <w:r>
        <w:t>2022年度年末结转和结余0.00万元，较上年决算数增加0.00万元，增长</w:t>
      </w:r>
      <w:r>
        <w:rPr>
          <w:rFonts w:hint="eastAsia"/>
          <w:lang w:val="en-US" w:eastAsia="zh-CN"/>
        </w:rPr>
        <w:t>0</w:t>
      </w:r>
      <w:r>
        <w:t>%</w:t>
      </w:r>
      <w:r>
        <w:rPr>
          <w:rFonts w:hint="eastAsia"/>
          <w:lang w:eastAsia="zh-CN"/>
        </w:rPr>
        <w:t>。</w:t>
      </w:r>
      <w:r>
        <w:rPr>
          <w:rFonts w:hint="eastAsia"/>
          <w:lang w:val="en-US" w:eastAsia="zh-CN"/>
        </w:rPr>
        <w:t>本单位无结转结余</w:t>
      </w:r>
    </w:p>
    <w:p>
      <w:pPr>
        <w:pStyle w:val="2"/>
        <w:keepNext w:val="0"/>
        <w:keepLines w:val="0"/>
        <w:widowControl/>
        <w:suppressLineNumbers w:val="0"/>
        <w:jc w:val="left"/>
      </w:pPr>
      <w:r>
        <w:rPr>
          <w:rStyle w:val="4"/>
        </w:rPr>
        <w:t>（二）财政拨款收入支出决算总体情况说明</w:t>
      </w:r>
    </w:p>
    <w:p>
      <w:pPr>
        <w:pStyle w:val="2"/>
        <w:keepNext w:val="0"/>
        <w:keepLines w:val="0"/>
        <w:widowControl/>
        <w:suppressLineNumbers w:val="0"/>
        <w:jc w:val="left"/>
        <w:rPr>
          <w:rFonts w:hint="eastAsia"/>
          <w:lang w:val="en-US" w:eastAsia="zh-CN"/>
        </w:rPr>
      </w:pPr>
      <w:bookmarkStart w:id="4" w:name="OLE_LINK4"/>
      <w:r>
        <w:t>2022年度财政拨款收</w:t>
      </w:r>
      <w:r>
        <w:rPr>
          <w:rFonts w:hint="eastAsia"/>
          <w:lang w:val="en-US" w:eastAsia="zh-CN"/>
        </w:rPr>
        <w:t>入</w:t>
      </w:r>
      <w:r>
        <w:t>总计136,125.60万元</w:t>
      </w:r>
      <w:bookmarkEnd w:id="4"/>
      <w:r>
        <w:t>。较上年决算数增加</w:t>
      </w:r>
      <w:r>
        <w:rPr>
          <w:rFonts w:hint="eastAsia"/>
          <w:lang w:val="en-US" w:eastAsia="zh-CN"/>
        </w:rPr>
        <w:t>130608.45</w:t>
      </w:r>
      <w:r>
        <w:t>万元，增长</w:t>
      </w:r>
      <w:r>
        <w:rPr>
          <w:rFonts w:hint="eastAsia"/>
          <w:lang w:val="en-US" w:eastAsia="zh-CN"/>
        </w:rPr>
        <w:t>2367.32</w:t>
      </w:r>
      <w:r>
        <w:t>%，主要原因是</w:t>
      </w:r>
      <w:bookmarkStart w:id="5" w:name="OLE_LINK5"/>
      <w:r>
        <w:rPr>
          <w:rFonts w:hint="eastAsia"/>
          <w:lang w:val="en-US" w:eastAsia="zh-CN"/>
        </w:rPr>
        <w:t>2022年</w:t>
      </w:r>
      <w:r>
        <w:rPr>
          <w:rFonts w:hint="eastAsia"/>
          <w:lang w:eastAsia="zh-CN"/>
        </w:rPr>
        <w:t>项目经费增加，本年新增 海棠新城职业教育城①②③等项目</w:t>
      </w:r>
      <w:r>
        <w:rPr>
          <w:rFonts w:hint="eastAsia"/>
          <w:lang w:val="en-US" w:eastAsia="zh-CN"/>
        </w:rPr>
        <w:t>60227万元</w:t>
      </w:r>
      <w:r>
        <w:rPr>
          <w:rFonts w:hint="eastAsia"/>
          <w:lang w:eastAsia="zh-CN"/>
        </w:rPr>
        <w:t>， 化债资金（调）</w:t>
      </w:r>
      <w:r>
        <w:rPr>
          <w:rFonts w:hint="eastAsia"/>
          <w:lang w:val="en-US" w:eastAsia="zh-CN"/>
        </w:rPr>
        <w:t>50000万元，天宫河片区开发项目20000万元。</w:t>
      </w:r>
    </w:p>
    <w:bookmarkEnd w:id="5"/>
    <w:p>
      <w:pPr>
        <w:pStyle w:val="2"/>
        <w:keepNext w:val="0"/>
        <w:keepLines w:val="0"/>
        <w:widowControl/>
        <w:suppressLineNumbers w:val="0"/>
        <w:jc w:val="left"/>
      </w:pPr>
      <w:r>
        <w:t>2022年度财政拨款</w:t>
      </w:r>
      <w:r>
        <w:rPr>
          <w:rFonts w:hint="eastAsia"/>
          <w:lang w:val="en-US" w:eastAsia="zh-CN"/>
        </w:rPr>
        <w:t>支出</w:t>
      </w:r>
      <w:r>
        <w:t>总计136,125.60万元</w:t>
      </w:r>
      <w:r>
        <w:rPr>
          <w:rFonts w:hint="eastAsia"/>
          <w:lang w:eastAsia="zh-CN"/>
        </w:rPr>
        <w:t>，</w:t>
      </w:r>
      <w:r>
        <w:t>与2021年相比，财政拨款支</w:t>
      </w:r>
      <w:r>
        <w:rPr>
          <w:rFonts w:hint="eastAsia"/>
          <w:lang w:val="en-US" w:eastAsia="zh-CN"/>
        </w:rPr>
        <w:t>出</w:t>
      </w:r>
      <w:r>
        <w:t>总计增加</w:t>
      </w:r>
      <w:r>
        <w:rPr>
          <w:rFonts w:hint="eastAsia"/>
          <w:lang w:val="en-US" w:eastAsia="zh-CN"/>
        </w:rPr>
        <w:t>130608.45</w:t>
      </w:r>
      <w:r>
        <w:t>万元，增长</w:t>
      </w:r>
      <w:r>
        <w:rPr>
          <w:rFonts w:hint="eastAsia"/>
          <w:lang w:val="en-US" w:eastAsia="zh-CN"/>
        </w:rPr>
        <w:t>2367.32</w:t>
      </w:r>
      <w:r>
        <w:t>%。主要原因是</w:t>
      </w:r>
      <w:bookmarkStart w:id="6" w:name="OLE_LINK6"/>
      <w:r>
        <w:rPr>
          <w:rFonts w:hint="eastAsia"/>
          <w:lang w:val="en-US" w:eastAsia="zh-CN"/>
        </w:rPr>
        <w:t>2022年</w:t>
      </w:r>
      <w:r>
        <w:rPr>
          <w:rFonts w:hint="eastAsia"/>
          <w:lang w:eastAsia="zh-CN"/>
        </w:rPr>
        <w:t>项目经费增加，本年新增 海棠新城职业教育城①②③等项目</w:t>
      </w:r>
      <w:r>
        <w:rPr>
          <w:rFonts w:hint="eastAsia"/>
          <w:lang w:val="en-US" w:eastAsia="zh-CN"/>
        </w:rPr>
        <w:t>60227万元</w:t>
      </w:r>
      <w:r>
        <w:rPr>
          <w:rFonts w:hint="eastAsia"/>
          <w:lang w:eastAsia="zh-CN"/>
        </w:rPr>
        <w:t>， 化债资金（调）</w:t>
      </w:r>
      <w:r>
        <w:rPr>
          <w:rFonts w:hint="eastAsia"/>
          <w:lang w:val="en-US" w:eastAsia="zh-CN"/>
        </w:rPr>
        <w:t>50000万元，天宫河片区开发项目20000万元。</w:t>
      </w:r>
    </w:p>
    <w:bookmarkEnd w:id="6"/>
    <w:p>
      <w:pPr>
        <w:pStyle w:val="2"/>
        <w:keepNext w:val="0"/>
        <w:keepLines w:val="0"/>
        <w:widowControl/>
        <w:suppressLineNumbers w:val="0"/>
        <w:jc w:val="left"/>
      </w:pPr>
      <w:r>
        <w:rPr>
          <w:rStyle w:val="4"/>
        </w:rPr>
        <w:t>（三）一般公共预算财政拨款收入支出决算情况说明</w:t>
      </w:r>
    </w:p>
    <w:p>
      <w:pPr>
        <w:pStyle w:val="2"/>
        <w:keepNext w:val="0"/>
        <w:keepLines w:val="0"/>
        <w:widowControl/>
        <w:suppressLineNumbers w:val="0"/>
        <w:jc w:val="left"/>
        <w:rPr>
          <w:rFonts w:hint="eastAsia"/>
          <w:lang w:val="en-US" w:eastAsia="zh-CN"/>
        </w:rPr>
      </w:pPr>
      <w:r>
        <w:rPr>
          <w:rStyle w:val="4"/>
        </w:rPr>
        <w:t>1.收入情况。</w:t>
      </w:r>
      <w:r>
        <w:t>2022年度一般公共预算财政拨款收入60,625.60万元，较上年决算数增加</w:t>
      </w:r>
      <w:r>
        <w:rPr>
          <w:rFonts w:hint="eastAsia"/>
          <w:lang w:val="en-US" w:eastAsia="zh-CN"/>
        </w:rPr>
        <w:t>57108.45</w:t>
      </w:r>
      <w:r>
        <w:t>万元，增长</w:t>
      </w:r>
      <w:r>
        <w:rPr>
          <w:rFonts w:hint="eastAsia"/>
          <w:lang w:val="en-US" w:eastAsia="zh-CN"/>
        </w:rPr>
        <w:t>1623.71</w:t>
      </w:r>
      <w:r>
        <w:t>%。主要原因是</w:t>
      </w:r>
      <w:r>
        <w:rPr>
          <w:rFonts w:hint="eastAsia"/>
          <w:lang w:val="en-US" w:eastAsia="zh-CN"/>
        </w:rPr>
        <w:t>2022年</w:t>
      </w:r>
      <w:r>
        <w:rPr>
          <w:rFonts w:hint="eastAsia"/>
          <w:lang w:eastAsia="zh-CN"/>
        </w:rPr>
        <w:t>项目经费增加，本年新增海棠新城职业教育城①②③等项目</w:t>
      </w:r>
      <w:r>
        <w:rPr>
          <w:rFonts w:hint="eastAsia"/>
          <w:lang w:val="en-US" w:eastAsia="zh-CN"/>
        </w:rPr>
        <w:t>60227万元</w:t>
      </w:r>
      <w:r>
        <w:rPr>
          <w:rFonts w:hint="eastAsia"/>
          <w:lang w:eastAsia="zh-CN"/>
        </w:rPr>
        <w:t>，化债资金（调）</w:t>
      </w:r>
      <w:r>
        <w:rPr>
          <w:rFonts w:hint="eastAsia"/>
          <w:lang w:val="en-US" w:eastAsia="zh-CN"/>
        </w:rPr>
        <w:t>50000万元，天宫河片区开发项目20000万元。</w:t>
      </w:r>
      <w:r>
        <w:t>较年初预算数增加60,286.01万元，增长17752.6%。主要原因是</w:t>
      </w:r>
      <w:r>
        <w:rPr>
          <w:rFonts w:hint="eastAsia"/>
          <w:lang w:eastAsia="zh-CN"/>
        </w:rPr>
        <w:t>项目经费增加，</w:t>
      </w:r>
      <w:bookmarkStart w:id="7" w:name="OLE_LINK8"/>
      <w:r>
        <w:rPr>
          <w:rFonts w:hint="eastAsia"/>
          <w:lang w:eastAsia="zh-CN"/>
        </w:rPr>
        <w:t>本年新增海棠新城职业教育城①②③等项目， 化债资金（调）</w:t>
      </w:r>
      <w:r>
        <w:rPr>
          <w:rFonts w:hint="eastAsia"/>
          <w:lang w:val="en-US" w:eastAsia="zh-CN"/>
        </w:rPr>
        <w:t>，天宫河片区开发项目</w:t>
      </w:r>
      <w:bookmarkEnd w:id="7"/>
      <w:r>
        <w:rPr>
          <w:rFonts w:hint="eastAsia"/>
          <w:lang w:val="en-US" w:eastAsia="zh-CN"/>
        </w:rPr>
        <w:t>。</w:t>
      </w:r>
    </w:p>
    <w:p>
      <w:pPr>
        <w:pStyle w:val="2"/>
        <w:keepNext w:val="0"/>
        <w:keepLines w:val="0"/>
        <w:widowControl/>
        <w:suppressLineNumbers w:val="0"/>
        <w:ind w:left="0" w:right="75"/>
        <w:jc w:val="left"/>
        <w:rPr>
          <w:rFonts w:hint="eastAsia"/>
          <w:lang w:val="en-US" w:eastAsia="zh-CN"/>
        </w:rPr>
      </w:pPr>
      <w:r>
        <w:rPr>
          <w:rStyle w:val="4"/>
        </w:rPr>
        <w:t>2.支出情况。</w:t>
      </w:r>
      <w:r>
        <w:t>2022年度一般公共预算财政拨款支出60,625.60万元，较上年决算数增加60,625.60万元，增长</w:t>
      </w:r>
      <w:r>
        <w:rPr>
          <w:rFonts w:hint="eastAsia"/>
          <w:lang w:val="en-US" w:eastAsia="zh-CN"/>
        </w:rPr>
        <w:t>100</w:t>
      </w:r>
      <w:r>
        <w:t>%。主要原因是</w:t>
      </w:r>
      <w:r>
        <w:rPr>
          <w:rFonts w:hint="eastAsia"/>
          <w:lang w:val="en-US" w:eastAsia="zh-CN"/>
        </w:rPr>
        <w:t>2022年新增决算单位。</w:t>
      </w:r>
      <w:r>
        <w:t>较年初预算数增加60,286.01万元，增长17752.6%。主要原因是</w:t>
      </w:r>
      <w:r>
        <w:rPr>
          <w:rFonts w:hint="eastAsia"/>
          <w:lang w:eastAsia="zh-CN"/>
        </w:rPr>
        <w:t>项目经费增加，本年新增 海棠新城职业教育城①②③等项目， 化债资金（调）</w:t>
      </w:r>
      <w:r>
        <w:rPr>
          <w:rFonts w:hint="eastAsia"/>
          <w:lang w:val="en-US" w:eastAsia="zh-CN"/>
        </w:rPr>
        <w:t>，</w:t>
      </w:r>
      <w:bookmarkStart w:id="8" w:name="OLE_LINK7"/>
      <w:r>
        <w:rPr>
          <w:rFonts w:hint="eastAsia"/>
          <w:lang w:val="en-US" w:eastAsia="zh-CN"/>
        </w:rPr>
        <w:t>天宫河片区开发项目。</w:t>
      </w:r>
    </w:p>
    <w:bookmarkEnd w:id="8"/>
    <w:p>
      <w:pPr>
        <w:pStyle w:val="2"/>
        <w:keepNext w:val="0"/>
        <w:keepLines w:val="0"/>
        <w:widowControl/>
        <w:suppressLineNumbers w:val="0"/>
        <w:jc w:val="left"/>
        <w:rPr>
          <w:rFonts w:hint="eastAsia" w:eastAsiaTheme="minorEastAsia"/>
          <w:lang w:eastAsia="zh-CN"/>
        </w:rPr>
      </w:pPr>
      <w:r>
        <w:rPr>
          <w:rStyle w:val="4"/>
        </w:rPr>
        <w:t>3.结转结余情况。</w:t>
      </w:r>
      <w:r>
        <w:t>2022年度年末一般公共预算财政拨款结转和结余0.00万元，较上年决算数增加0.00万元，增长</w:t>
      </w:r>
      <w:r>
        <w:rPr>
          <w:rFonts w:hint="eastAsia"/>
          <w:lang w:val="en-US" w:eastAsia="zh-CN"/>
        </w:rPr>
        <w:t>0</w:t>
      </w:r>
      <w:r>
        <w:t>%</w:t>
      </w:r>
      <w:r>
        <w:rPr>
          <w:rFonts w:hint="eastAsia"/>
          <w:lang w:eastAsia="zh-CN"/>
        </w:rPr>
        <w:t>。</w:t>
      </w:r>
      <w:r>
        <w:rPr>
          <w:rFonts w:hint="eastAsia"/>
          <w:lang w:val="en-US" w:eastAsia="zh-CN"/>
        </w:rPr>
        <w:t>本单位无结转结余。</w:t>
      </w:r>
    </w:p>
    <w:p>
      <w:pPr>
        <w:pStyle w:val="2"/>
        <w:keepNext w:val="0"/>
        <w:keepLines w:val="0"/>
        <w:widowControl/>
        <w:suppressLineNumbers w:val="0"/>
        <w:jc w:val="left"/>
      </w:pPr>
      <w:r>
        <w:rPr>
          <w:rStyle w:val="4"/>
        </w:rPr>
        <w:t>4.比较情况。</w:t>
      </w:r>
      <w:r>
        <w:t>本部门2022年度一般公共预算财政拨款支出主要用于以下几个方面：</w:t>
      </w:r>
    </w:p>
    <w:p>
      <w:pPr>
        <w:pStyle w:val="2"/>
        <w:keepNext w:val="0"/>
        <w:keepLines w:val="0"/>
        <w:widowControl/>
        <w:suppressLineNumbers w:val="0"/>
        <w:ind w:left="0" w:right="75"/>
        <w:jc w:val="left"/>
      </w:pPr>
      <w:r>
        <w:t>（1）一般公共服务支出326.52万元，占0.5</w:t>
      </w:r>
      <w:r>
        <w:rPr>
          <w:rFonts w:hint="eastAsia"/>
          <w:lang w:val="en-US" w:eastAsia="zh-CN"/>
        </w:rPr>
        <w:t>2</w:t>
      </w:r>
      <w:r>
        <w:t>%，较年初预算数增加45.06万元，增长16%，主要原因是</w:t>
      </w:r>
      <w:r>
        <w:rPr>
          <w:rFonts w:hint="eastAsia"/>
          <w:lang w:eastAsia="zh-CN"/>
        </w:rPr>
        <w:t>人员变动</w:t>
      </w:r>
    </w:p>
    <w:p>
      <w:pPr>
        <w:pStyle w:val="2"/>
        <w:keepNext w:val="0"/>
        <w:keepLines w:val="0"/>
        <w:widowControl/>
        <w:suppressLineNumbers w:val="0"/>
        <w:ind w:left="0" w:right="75"/>
        <w:jc w:val="left"/>
      </w:pPr>
      <w:r>
        <w:t>（</w:t>
      </w:r>
      <w:r>
        <w:rPr>
          <w:rFonts w:hint="eastAsia"/>
          <w:lang w:val="en-US" w:eastAsia="zh-CN"/>
        </w:rPr>
        <w:t>2</w:t>
      </w:r>
      <w:r>
        <w:t>）科学技术支出5,600.00万元，占9.2</w:t>
      </w:r>
      <w:r>
        <w:rPr>
          <w:rFonts w:hint="eastAsia"/>
          <w:lang w:val="en-US" w:eastAsia="zh-CN"/>
        </w:rPr>
        <w:t>3</w:t>
      </w:r>
      <w:r>
        <w:t>%，较年初预算数增加5,600.00万元，增长%，主要原因是主要原因是</w:t>
      </w:r>
      <w:r>
        <w:rPr>
          <w:rFonts w:hint="eastAsia"/>
          <w:lang w:eastAsia="zh-CN"/>
        </w:rPr>
        <w:t>本年新增 海棠新城职业教育城①②③等项目</w:t>
      </w:r>
      <w:r>
        <w:t>。</w:t>
      </w:r>
    </w:p>
    <w:p>
      <w:pPr>
        <w:pStyle w:val="2"/>
        <w:keepNext w:val="0"/>
        <w:keepLines w:val="0"/>
        <w:widowControl/>
        <w:suppressLineNumbers w:val="0"/>
        <w:ind w:left="0" w:right="75"/>
        <w:jc w:val="left"/>
      </w:pPr>
      <w:r>
        <w:t>（</w:t>
      </w:r>
      <w:r>
        <w:rPr>
          <w:rFonts w:hint="eastAsia"/>
          <w:lang w:val="en-US" w:eastAsia="zh-CN"/>
        </w:rPr>
        <w:t>3</w:t>
      </w:r>
      <w:r>
        <w:t>）社会保障与就业支出41.37万元，占0.</w:t>
      </w:r>
      <w:r>
        <w:rPr>
          <w:rFonts w:hint="eastAsia"/>
          <w:lang w:val="en-US" w:eastAsia="zh-CN"/>
        </w:rPr>
        <w:t>08</w:t>
      </w:r>
      <w:r>
        <w:t>%，较年初预算数增加12.20万元，增长41.8%，主要原因是</w:t>
      </w:r>
      <w:r>
        <w:rPr>
          <w:rFonts w:hint="eastAsia"/>
        </w:rPr>
        <w:t>社会保障与就业</w:t>
      </w:r>
      <w:r>
        <w:rPr>
          <w:rFonts w:hint="eastAsia"/>
          <w:lang w:eastAsia="zh-CN"/>
        </w:rPr>
        <w:t>基数调整。</w:t>
      </w:r>
    </w:p>
    <w:p>
      <w:pPr>
        <w:pStyle w:val="2"/>
        <w:keepNext w:val="0"/>
        <w:keepLines w:val="0"/>
        <w:widowControl/>
        <w:suppressLineNumbers w:val="0"/>
        <w:ind w:left="0" w:right="75"/>
        <w:jc w:val="left"/>
      </w:pPr>
      <w:r>
        <w:t>（</w:t>
      </w:r>
      <w:r>
        <w:rPr>
          <w:rFonts w:hint="eastAsia"/>
          <w:lang w:val="en-US" w:eastAsia="zh-CN"/>
        </w:rPr>
        <w:t>4</w:t>
      </w:r>
      <w:r>
        <w:t>）卫生健康支出16.28万元，占0</w:t>
      </w:r>
      <w:r>
        <w:rPr>
          <w:rFonts w:hint="eastAsia"/>
          <w:lang w:val="en-US" w:eastAsia="zh-CN"/>
        </w:rPr>
        <w:t>.03</w:t>
      </w:r>
      <w:r>
        <w:t>%，较年初预算数增加1.72万元，增长11.8%，主要原因是</w:t>
      </w:r>
      <w:r>
        <w:rPr>
          <w:rFonts w:hint="eastAsia"/>
          <w:lang w:eastAsia="zh-CN"/>
        </w:rPr>
        <w:t>人员变动及医疗保险费基数调整。</w:t>
      </w:r>
    </w:p>
    <w:p>
      <w:pPr>
        <w:pStyle w:val="2"/>
        <w:keepNext w:val="0"/>
        <w:keepLines w:val="0"/>
        <w:widowControl/>
        <w:suppressLineNumbers w:val="0"/>
        <w:ind w:left="0" w:right="75"/>
        <w:jc w:val="left"/>
        <w:rPr>
          <w:rFonts w:hint="eastAsia"/>
          <w:color w:val="auto"/>
          <w:sz w:val="32"/>
          <w:szCs w:val="32"/>
          <w:shd w:val="clear" w:fill="FFFFFF"/>
          <w:lang w:eastAsia="zh-CN"/>
        </w:rPr>
      </w:pPr>
      <w:r>
        <w:t>（</w:t>
      </w:r>
      <w:r>
        <w:rPr>
          <w:rFonts w:hint="eastAsia"/>
          <w:lang w:val="en-US" w:eastAsia="zh-CN"/>
        </w:rPr>
        <w:t>5</w:t>
      </w:r>
      <w:r>
        <w:t>）城乡社区支出54,627.03万元，占90.1</w:t>
      </w:r>
      <w:r>
        <w:rPr>
          <w:rFonts w:hint="eastAsia"/>
          <w:lang w:val="en-US" w:eastAsia="zh-CN"/>
        </w:rPr>
        <w:t>2</w:t>
      </w:r>
      <w:r>
        <w:t>%，较年初预算数增加54,627.03万元，增长</w:t>
      </w:r>
      <w:r>
        <w:rPr>
          <w:rFonts w:hint="eastAsia"/>
          <w:lang w:val="en-US" w:eastAsia="zh-CN"/>
        </w:rPr>
        <w:t>100</w:t>
      </w:r>
      <w:r>
        <w:t>%，主要原因是</w:t>
      </w:r>
      <w:r>
        <w:rPr>
          <w:rFonts w:hint="eastAsia"/>
          <w:lang w:eastAsia="zh-CN"/>
        </w:rPr>
        <w:t>本年新增海棠新城职业教育城①②③等项目。</w:t>
      </w:r>
      <w:r>
        <w:rPr>
          <w:rFonts w:hint="eastAsia"/>
          <w:lang w:val="en-US" w:eastAsia="zh-CN"/>
        </w:rPr>
        <w:t>天宫河片区开发项目。</w:t>
      </w:r>
    </w:p>
    <w:p>
      <w:pPr>
        <w:pStyle w:val="2"/>
        <w:keepNext w:val="0"/>
        <w:keepLines w:val="0"/>
        <w:widowControl/>
        <w:suppressLineNumbers w:val="0"/>
        <w:jc w:val="left"/>
        <w:rPr>
          <w:rFonts w:hint="eastAsia"/>
          <w:lang w:val="en-US" w:eastAsia="zh-CN"/>
        </w:rPr>
      </w:pPr>
      <w:r>
        <w:t>（</w:t>
      </w:r>
      <w:r>
        <w:rPr>
          <w:rFonts w:hint="eastAsia"/>
          <w:lang w:val="en-US" w:eastAsia="zh-CN"/>
        </w:rPr>
        <w:t>6</w:t>
      </w:r>
      <w:r>
        <w:t>）住房保障支出14.40万元，占</w:t>
      </w:r>
      <w:r>
        <w:rPr>
          <w:rFonts w:hint="eastAsia"/>
          <w:lang w:val="en-US" w:eastAsia="zh-CN"/>
        </w:rPr>
        <w:t>0.02</w:t>
      </w:r>
      <w:r>
        <w:t>%，较年初预算数增加0.00万元，增长0%，</w:t>
      </w:r>
      <w:r>
        <w:rPr>
          <w:rFonts w:hint="eastAsia"/>
          <w:lang w:val="en-US" w:eastAsia="zh-CN"/>
        </w:rPr>
        <w:t>和年初预算持平。</w:t>
      </w:r>
    </w:p>
    <w:p>
      <w:pPr>
        <w:pStyle w:val="2"/>
        <w:keepNext w:val="0"/>
        <w:keepLines w:val="0"/>
        <w:widowControl/>
        <w:suppressLineNumbers w:val="0"/>
        <w:jc w:val="left"/>
      </w:pPr>
      <w:r>
        <w:rPr>
          <w:rStyle w:val="4"/>
        </w:rPr>
        <w:t>（四）一般公共预算财政拨款基本支出决算情况说明</w:t>
      </w:r>
    </w:p>
    <w:p>
      <w:pPr>
        <w:pStyle w:val="2"/>
        <w:shd w:val="clear" w:color="auto" w:fill="FFFFFF"/>
        <w:spacing w:before="0" w:beforeAutospacing="0" w:after="105" w:afterAutospacing="0" w:line="720" w:lineRule="atLeast"/>
        <w:ind w:firstLine="540"/>
        <w:rPr>
          <w:rFonts w:hint="eastAsia"/>
          <w:sz w:val="24"/>
          <w:szCs w:val="24"/>
        </w:rPr>
      </w:pPr>
      <w:r>
        <w:rPr>
          <w:sz w:val="24"/>
          <w:szCs w:val="24"/>
        </w:rPr>
        <w:t>2022年度一般公共预算财政拨款基本支出398.57万元。其中：人员经费317.96万元，较上年决算数增加</w:t>
      </w:r>
      <w:r>
        <w:rPr>
          <w:rFonts w:hint="eastAsia"/>
          <w:sz w:val="24"/>
          <w:szCs w:val="24"/>
          <w:lang w:val="en-US" w:eastAsia="zh-CN"/>
        </w:rPr>
        <w:t>70.22</w:t>
      </w:r>
      <w:r>
        <w:rPr>
          <w:sz w:val="24"/>
          <w:szCs w:val="24"/>
        </w:rPr>
        <w:t>万元，增长</w:t>
      </w:r>
      <w:r>
        <w:rPr>
          <w:rFonts w:hint="eastAsia"/>
          <w:sz w:val="24"/>
          <w:szCs w:val="24"/>
          <w:lang w:val="en-US" w:eastAsia="zh-CN"/>
        </w:rPr>
        <w:t>28.34</w:t>
      </w:r>
      <w:r>
        <w:rPr>
          <w:sz w:val="24"/>
          <w:szCs w:val="24"/>
        </w:rPr>
        <w:t>%，主要原因是</w:t>
      </w:r>
      <w:r>
        <w:rPr>
          <w:rFonts w:hint="eastAsia"/>
          <w:sz w:val="24"/>
          <w:szCs w:val="24"/>
          <w:lang w:val="en-US" w:eastAsia="zh-CN"/>
        </w:rPr>
        <w:t>2022年社保基数调整和人员增加。</w:t>
      </w:r>
      <w:r>
        <w:rPr>
          <w:sz w:val="24"/>
          <w:szCs w:val="24"/>
        </w:rPr>
        <w:t>人员经费用途主要包括主要包括</w:t>
      </w:r>
      <w:r>
        <w:rPr>
          <w:rFonts w:hint="eastAsia"/>
          <w:sz w:val="24"/>
          <w:szCs w:val="24"/>
        </w:rPr>
        <w:t>基本工资、津贴补贴、奖金、社会保障缴费</w:t>
      </w:r>
      <w:r>
        <w:rPr>
          <w:sz w:val="24"/>
          <w:szCs w:val="24"/>
        </w:rPr>
        <w:t>。</w:t>
      </w:r>
      <w:r>
        <w:rPr>
          <w:sz w:val="24"/>
          <w:szCs w:val="24"/>
        </w:rPr>
        <w:t>公用经费80.61万元，较上年决算数增加</w:t>
      </w:r>
      <w:r>
        <w:rPr>
          <w:rFonts w:hint="eastAsia"/>
          <w:sz w:val="24"/>
          <w:szCs w:val="24"/>
          <w:lang w:val="en-US" w:eastAsia="zh-CN"/>
        </w:rPr>
        <w:t>20.22</w:t>
      </w:r>
      <w:r>
        <w:rPr>
          <w:sz w:val="24"/>
          <w:szCs w:val="24"/>
        </w:rPr>
        <w:t>万元，增长</w:t>
      </w:r>
      <w:r>
        <w:rPr>
          <w:rFonts w:hint="eastAsia"/>
          <w:sz w:val="24"/>
          <w:szCs w:val="24"/>
          <w:lang w:val="en-US" w:eastAsia="zh-CN"/>
        </w:rPr>
        <w:t>33.48</w:t>
      </w:r>
      <w:r>
        <w:rPr>
          <w:sz w:val="24"/>
          <w:szCs w:val="24"/>
        </w:rPr>
        <w:t>%，主要原因是</w:t>
      </w:r>
      <w:r>
        <w:rPr>
          <w:rFonts w:hint="eastAsia"/>
          <w:sz w:val="24"/>
          <w:szCs w:val="24"/>
          <w:lang w:val="en-US" w:eastAsia="zh-CN"/>
        </w:rPr>
        <w:t>2022年人员增加。</w:t>
      </w:r>
      <w:r>
        <w:rPr>
          <w:sz w:val="24"/>
          <w:szCs w:val="24"/>
        </w:rPr>
        <w:t>公用经费用途主要包括</w:t>
      </w:r>
      <w:r>
        <w:rPr>
          <w:rFonts w:hint="eastAsia"/>
          <w:sz w:val="24"/>
          <w:szCs w:val="24"/>
        </w:rPr>
        <w:t>办公费、印刷费、咨询费、手续费。</w:t>
      </w:r>
    </w:p>
    <w:p>
      <w:pPr>
        <w:pStyle w:val="2"/>
        <w:keepNext w:val="0"/>
        <w:keepLines w:val="0"/>
        <w:widowControl/>
        <w:suppressLineNumbers w:val="0"/>
        <w:jc w:val="left"/>
      </w:pPr>
      <w:r>
        <w:rPr>
          <w:rStyle w:val="4"/>
        </w:rPr>
        <w:t>（五）政府性基金预算收支决算情况说明。</w:t>
      </w:r>
    </w:p>
    <w:p>
      <w:pPr>
        <w:pStyle w:val="2"/>
        <w:keepNext w:val="0"/>
        <w:keepLines w:val="0"/>
        <w:widowControl/>
        <w:suppressLineNumbers w:val="0"/>
        <w:jc w:val="left"/>
      </w:pPr>
      <w:r>
        <w:t>2022年度政府性基金预算财政拨款年初结转结余0.00万元，年末结转结余0.00万元。本年收入75,500.00万元，较上年决算数增加75,500.00万元，增长</w:t>
      </w:r>
      <w:r>
        <w:rPr>
          <w:rFonts w:hint="eastAsia"/>
          <w:lang w:val="en-US" w:eastAsia="zh-CN"/>
        </w:rPr>
        <w:t>100</w:t>
      </w:r>
      <w:r>
        <w:t>%，主要原因是</w:t>
      </w:r>
      <w:r>
        <w:rPr>
          <w:rFonts w:hint="eastAsia"/>
          <w:sz w:val="24"/>
          <w:szCs w:val="24"/>
          <w:lang w:val="en-US" w:eastAsia="zh-CN"/>
        </w:rPr>
        <w:t>2022年</w:t>
      </w:r>
      <w:r>
        <w:rPr>
          <w:rFonts w:hint="eastAsia"/>
          <w:lang w:eastAsia="zh-CN"/>
        </w:rPr>
        <w:t>项目经费增加，化债资金（调）</w:t>
      </w:r>
      <w:r>
        <w:rPr>
          <w:rFonts w:hint="eastAsia"/>
          <w:lang w:val="en-US" w:eastAsia="zh-CN"/>
        </w:rPr>
        <w:t>50000万元，天宫河片区开发项目20000万元</w:t>
      </w:r>
      <w:r>
        <w:rPr>
          <w:rFonts w:hint="eastAsia"/>
          <w:sz w:val="24"/>
          <w:szCs w:val="24"/>
          <w:lang w:val="en-US" w:eastAsia="zh-CN"/>
        </w:rPr>
        <w:t>。</w:t>
      </w:r>
      <w:r>
        <w:t>本年支出75,500.00万元，较上年决算数增加75,500.00万元，增长</w:t>
      </w:r>
      <w:r>
        <w:rPr>
          <w:rFonts w:hint="eastAsia"/>
          <w:lang w:val="en-US" w:eastAsia="zh-CN"/>
        </w:rPr>
        <w:t>100</w:t>
      </w:r>
      <w:r>
        <w:t>%，主要原因是</w:t>
      </w:r>
      <w:bookmarkStart w:id="9" w:name="OLE_LINK10"/>
      <w:r>
        <w:rPr>
          <w:rFonts w:hint="eastAsia"/>
          <w:sz w:val="24"/>
          <w:szCs w:val="24"/>
          <w:lang w:val="en-US" w:eastAsia="zh-CN"/>
        </w:rPr>
        <w:t>2022年</w:t>
      </w:r>
      <w:r>
        <w:rPr>
          <w:rFonts w:hint="eastAsia"/>
          <w:lang w:eastAsia="zh-CN"/>
        </w:rPr>
        <w:t>项目经费增加，化债资金（调）</w:t>
      </w:r>
      <w:r>
        <w:rPr>
          <w:rFonts w:hint="eastAsia"/>
          <w:lang w:val="en-US" w:eastAsia="zh-CN"/>
        </w:rPr>
        <w:t>50000万元，天宫河片区开发项目20000万元</w:t>
      </w:r>
      <w:r>
        <w:rPr>
          <w:rFonts w:hint="eastAsia"/>
          <w:sz w:val="24"/>
          <w:szCs w:val="24"/>
          <w:lang w:val="en-US" w:eastAsia="zh-CN"/>
        </w:rPr>
        <w:t>。</w:t>
      </w:r>
      <w:bookmarkEnd w:id="9"/>
    </w:p>
    <w:p>
      <w:pPr>
        <w:pStyle w:val="2"/>
        <w:keepNext w:val="0"/>
        <w:keepLines w:val="0"/>
        <w:widowControl/>
        <w:numPr>
          <w:ilvl w:val="0"/>
          <w:numId w:val="1"/>
        </w:numPr>
        <w:suppressLineNumbers w:val="0"/>
        <w:jc w:val="left"/>
        <w:rPr>
          <w:rStyle w:val="4"/>
        </w:rPr>
      </w:pPr>
      <w:r>
        <w:rPr>
          <w:rStyle w:val="4"/>
        </w:rPr>
        <w:t>国有资本经营预算财政拨款支出决算情况说明。</w:t>
      </w:r>
    </w:p>
    <w:p>
      <w:pPr>
        <w:pStyle w:val="2"/>
        <w:keepNext w:val="0"/>
        <w:keepLines w:val="0"/>
        <w:widowControl/>
        <w:numPr>
          <w:numId w:val="0"/>
        </w:numPr>
        <w:suppressLineNumbers w:val="0"/>
        <w:ind w:right="0" w:rightChars="0"/>
        <w:jc w:val="left"/>
        <w:rPr>
          <w:rFonts w:hint="eastAsia"/>
          <w:lang w:val="en-US" w:eastAsia="zh-CN"/>
        </w:rPr>
      </w:pPr>
      <w:r>
        <w:rPr>
          <w:rFonts w:hint="eastAsia"/>
          <w:lang w:val="en-US" w:eastAsia="zh-CN"/>
        </w:rPr>
        <w:t xml:space="preserve">   本部门2022年度无国有资本经营预算财政拨款支出。</w:t>
      </w:r>
    </w:p>
    <w:p>
      <w:pPr>
        <w:pStyle w:val="2"/>
        <w:keepNext w:val="0"/>
        <w:keepLines w:val="0"/>
        <w:widowControl/>
        <w:suppressLineNumbers w:val="0"/>
        <w:jc w:val="left"/>
      </w:pPr>
      <w:r>
        <w:rPr>
          <w:rStyle w:val="4"/>
        </w:rPr>
        <w:t>三、“三公”经费情况说明</w:t>
      </w:r>
    </w:p>
    <w:p>
      <w:pPr>
        <w:pStyle w:val="2"/>
        <w:keepNext w:val="0"/>
        <w:keepLines w:val="0"/>
        <w:widowControl/>
        <w:suppressLineNumbers w:val="0"/>
        <w:jc w:val="left"/>
      </w:pPr>
      <w:r>
        <w:rPr>
          <w:rStyle w:val="4"/>
        </w:rPr>
        <w:t>（一）“三公”经费支出总体情况说明</w:t>
      </w:r>
    </w:p>
    <w:p>
      <w:pPr>
        <w:pStyle w:val="2"/>
        <w:keepNext w:val="0"/>
        <w:keepLines w:val="0"/>
        <w:widowControl/>
        <w:suppressLineNumbers w:val="0"/>
        <w:jc w:val="left"/>
        <w:rPr>
          <w:rFonts w:hint="eastAsia"/>
          <w:color w:val="auto"/>
          <w:sz w:val="32"/>
          <w:szCs w:val="32"/>
          <w:shd w:val="clear" w:fill="FFFFFF"/>
          <w:lang w:val="en-US" w:eastAsia="zh-CN"/>
        </w:rPr>
      </w:pPr>
      <w:r>
        <w:rPr>
          <w:sz w:val="24"/>
          <w:szCs w:val="24"/>
        </w:rPr>
        <w:t>2022年度“三公”经费支出共计31.38万元，较年初预算数增加17.39万元，增长124.3%，主要原因是</w:t>
      </w:r>
      <w:r>
        <w:rPr>
          <w:rFonts w:hint="eastAsia"/>
          <w:color w:val="auto"/>
          <w:sz w:val="24"/>
          <w:szCs w:val="24"/>
          <w:shd w:val="clear" w:fill="FFFFFF"/>
          <w:lang w:eastAsia="zh-CN"/>
        </w:rPr>
        <w:t>公务用车购置。</w:t>
      </w:r>
      <w:r>
        <w:rPr>
          <w:rFonts w:hint="eastAsia"/>
          <w:color w:val="auto"/>
          <w:sz w:val="24"/>
          <w:szCs w:val="24"/>
          <w:shd w:val="clear" w:fill="FFFFFF"/>
          <w:lang w:val="en-US" w:eastAsia="zh-CN"/>
        </w:rPr>
        <w:t>2022年购入1辆公务用车。</w:t>
      </w:r>
      <w:r>
        <w:rPr>
          <w:sz w:val="24"/>
          <w:szCs w:val="24"/>
        </w:rPr>
        <w:t>较上年支出数增加</w:t>
      </w:r>
      <w:r>
        <w:rPr>
          <w:rFonts w:hint="eastAsia"/>
          <w:sz w:val="24"/>
          <w:szCs w:val="24"/>
          <w:lang w:val="en-US" w:eastAsia="zh-CN"/>
        </w:rPr>
        <w:t>17.86</w:t>
      </w:r>
      <w:r>
        <w:rPr>
          <w:sz w:val="24"/>
          <w:szCs w:val="24"/>
        </w:rPr>
        <w:t>万元，增长</w:t>
      </w:r>
      <w:r>
        <w:rPr>
          <w:rFonts w:hint="eastAsia"/>
          <w:sz w:val="24"/>
          <w:szCs w:val="24"/>
          <w:lang w:val="en-US" w:eastAsia="zh-CN"/>
        </w:rPr>
        <w:t>132.1</w:t>
      </w:r>
      <w:r>
        <w:rPr>
          <w:sz w:val="24"/>
          <w:szCs w:val="24"/>
        </w:rPr>
        <w:t>%，主要原因是</w:t>
      </w:r>
      <w:r>
        <w:rPr>
          <w:rFonts w:hint="eastAsia"/>
          <w:color w:val="auto"/>
          <w:sz w:val="24"/>
          <w:szCs w:val="24"/>
          <w:shd w:val="clear" w:fill="FFFFFF"/>
          <w:lang w:eastAsia="zh-CN"/>
        </w:rPr>
        <w:t>公务用车购置。</w:t>
      </w:r>
      <w:r>
        <w:rPr>
          <w:rFonts w:hint="eastAsia"/>
          <w:color w:val="auto"/>
          <w:sz w:val="24"/>
          <w:szCs w:val="24"/>
          <w:shd w:val="clear" w:fill="FFFFFF"/>
          <w:lang w:val="en-US" w:eastAsia="zh-CN"/>
        </w:rPr>
        <w:t>2022年购入1辆公务用车</w:t>
      </w:r>
      <w:r>
        <w:rPr>
          <w:rFonts w:hint="eastAsia"/>
          <w:color w:val="auto"/>
          <w:sz w:val="32"/>
          <w:szCs w:val="32"/>
          <w:shd w:val="clear" w:fill="FFFFFF"/>
          <w:lang w:val="en-US" w:eastAsia="zh-CN"/>
        </w:rPr>
        <w:t>。</w:t>
      </w:r>
    </w:p>
    <w:p>
      <w:pPr>
        <w:pStyle w:val="2"/>
        <w:keepNext w:val="0"/>
        <w:keepLines w:val="0"/>
        <w:widowControl/>
        <w:suppressLineNumbers w:val="0"/>
        <w:jc w:val="left"/>
      </w:pPr>
      <w:r>
        <w:rPr>
          <w:rStyle w:val="4"/>
        </w:rPr>
        <w:t>（二）“三公”经费分项支出情况</w:t>
      </w:r>
    </w:p>
    <w:p>
      <w:pPr>
        <w:pStyle w:val="2"/>
        <w:keepNext w:val="0"/>
        <w:keepLines w:val="0"/>
        <w:widowControl/>
        <w:suppressLineNumbers w:val="0"/>
        <w:ind w:left="0" w:right="75"/>
        <w:jc w:val="left"/>
        <w:rPr>
          <w:rFonts w:hint="eastAsia" w:ascii="宋体" w:hAnsi="宋体" w:eastAsia="宋体" w:cs="宋体"/>
          <w:color w:val="auto"/>
          <w:kern w:val="0"/>
          <w:sz w:val="24"/>
          <w:szCs w:val="24"/>
          <w:shd w:val="clear" w:fill="FFFFFF"/>
          <w:lang w:val="en-US" w:eastAsia="zh-CN" w:bidi="ar"/>
        </w:rPr>
      </w:pPr>
      <w:r>
        <w:rPr>
          <w:color w:val="auto"/>
          <w:sz w:val="24"/>
          <w:szCs w:val="24"/>
          <w:shd w:val="clear" w:fill="FFFFFF"/>
        </w:rPr>
        <w:t>2022年度本部门因公出国（境）费用0.00万元，</w:t>
      </w:r>
      <w:r>
        <w:rPr>
          <w:rFonts w:hint="eastAsia" w:ascii="宋体" w:hAnsi="宋体" w:eastAsia="宋体" w:cs="宋体"/>
          <w:color w:val="auto"/>
          <w:kern w:val="0"/>
          <w:sz w:val="24"/>
          <w:szCs w:val="24"/>
          <w:shd w:val="clear" w:fill="FFFFFF"/>
          <w:lang w:val="en-US" w:eastAsia="zh-CN" w:bidi="ar"/>
        </w:rPr>
        <w:t>本单位2022年度未发生因公出国（境）费用，</w:t>
      </w:r>
      <w:r>
        <w:rPr>
          <w:color w:val="auto"/>
          <w:sz w:val="24"/>
          <w:szCs w:val="24"/>
          <w:shd w:val="clear" w:fill="FFFFFF"/>
        </w:rPr>
        <w:t>费用支出较年初预算数增加0.00万元，增长</w:t>
      </w:r>
      <w:r>
        <w:rPr>
          <w:rFonts w:hint="eastAsia"/>
          <w:color w:val="auto"/>
          <w:sz w:val="24"/>
          <w:szCs w:val="24"/>
          <w:shd w:val="clear" w:fill="FFFFFF"/>
          <w:lang w:val="en-US" w:eastAsia="zh-CN"/>
        </w:rPr>
        <w:t>0</w:t>
      </w:r>
      <w:r>
        <w:rPr>
          <w:color w:val="auto"/>
          <w:sz w:val="24"/>
          <w:szCs w:val="24"/>
          <w:shd w:val="clear" w:fill="FFFFFF"/>
        </w:rPr>
        <w:t>%，</w:t>
      </w:r>
      <w:bookmarkStart w:id="10" w:name="OLE_LINK11"/>
      <w:r>
        <w:rPr>
          <w:rFonts w:hint="eastAsia"/>
          <w:color w:val="auto"/>
          <w:sz w:val="24"/>
          <w:szCs w:val="24"/>
          <w:shd w:val="clear" w:fill="FFFFFF"/>
          <w:lang w:val="en-US" w:eastAsia="zh-CN"/>
        </w:rPr>
        <w:t>与年初数持平，</w:t>
      </w:r>
      <w:bookmarkEnd w:id="10"/>
      <w:r>
        <w:rPr>
          <w:rFonts w:hint="eastAsia" w:ascii="宋体" w:hAnsi="宋体" w:eastAsia="宋体" w:cs="宋体"/>
          <w:color w:val="auto"/>
          <w:kern w:val="0"/>
          <w:sz w:val="24"/>
          <w:szCs w:val="24"/>
          <w:shd w:val="clear" w:fill="FFFFFF"/>
          <w:lang w:val="en-US" w:eastAsia="zh-CN" w:bidi="ar"/>
        </w:rPr>
        <w:t>本单位2022年度未发生因公出国（境）费用，</w:t>
      </w:r>
      <w:r>
        <w:rPr>
          <w:color w:val="auto"/>
          <w:sz w:val="24"/>
          <w:szCs w:val="24"/>
          <w:shd w:val="clear" w:fill="FFFFFF"/>
        </w:rPr>
        <w:t>较上年支出数增加0.00万元，增长</w:t>
      </w:r>
      <w:r>
        <w:rPr>
          <w:rFonts w:hint="eastAsia"/>
          <w:color w:val="auto"/>
          <w:sz w:val="24"/>
          <w:szCs w:val="24"/>
          <w:shd w:val="clear" w:fill="FFFFFF"/>
          <w:lang w:val="en-US" w:eastAsia="zh-CN"/>
        </w:rPr>
        <w:t>0</w:t>
      </w:r>
      <w:r>
        <w:rPr>
          <w:color w:val="auto"/>
          <w:sz w:val="24"/>
          <w:szCs w:val="24"/>
          <w:shd w:val="clear" w:fill="FFFFFF"/>
        </w:rPr>
        <w:t>%，</w:t>
      </w:r>
      <w:r>
        <w:rPr>
          <w:rFonts w:hint="eastAsia"/>
          <w:color w:val="auto"/>
          <w:sz w:val="24"/>
          <w:szCs w:val="24"/>
          <w:shd w:val="clear" w:fill="FFFFFF"/>
          <w:lang w:val="en-US" w:eastAsia="zh-CN"/>
        </w:rPr>
        <w:t>与上年数持平，</w:t>
      </w:r>
      <w:r>
        <w:rPr>
          <w:color w:val="auto"/>
          <w:sz w:val="24"/>
          <w:szCs w:val="24"/>
          <w:shd w:val="clear" w:fill="FFFFFF"/>
        </w:rPr>
        <w:t>主要原因是</w:t>
      </w:r>
      <w:r>
        <w:rPr>
          <w:rFonts w:hint="eastAsia" w:ascii="宋体" w:hAnsi="宋体" w:eastAsia="宋体" w:cs="宋体"/>
          <w:color w:val="auto"/>
          <w:kern w:val="0"/>
          <w:sz w:val="24"/>
          <w:szCs w:val="24"/>
          <w:shd w:val="clear" w:fill="FFFFFF"/>
          <w:lang w:val="en-US" w:eastAsia="zh-CN" w:bidi="ar"/>
        </w:rPr>
        <w:t>本单位2022年度未发生因公出国（境）费用。</w:t>
      </w:r>
    </w:p>
    <w:p>
      <w:pPr>
        <w:pStyle w:val="2"/>
        <w:keepNext w:val="0"/>
        <w:keepLines w:val="0"/>
        <w:widowControl/>
        <w:suppressLineNumbers w:val="0"/>
        <w:ind w:left="0" w:right="75"/>
        <w:jc w:val="left"/>
        <w:rPr>
          <w:color w:val="auto"/>
          <w:sz w:val="24"/>
          <w:szCs w:val="24"/>
        </w:rPr>
      </w:pPr>
      <w:r>
        <w:rPr>
          <w:rFonts w:hint="eastAsia"/>
          <w:color w:val="auto"/>
          <w:sz w:val="24"/>
          <w:szCs w:val="24"/>
          <w:shd w:val="clear" w:fill="FFFFFF"/>
          <w:lang w:val="en-US" w:eastAsia="zh-CN"/>
        </w:rPr>
        <w:t xml:space="preserve"> </w:t>
      </w:r>
      <w:r>
        <w:rPr>
          <w:color w:val="auto"/>
          <w:sz w:val="24"/>
          <w:szCs w:val="24"/>
          <w:shd w:val="clear" w:fill="FFFFFF"/>
        </w:rPr>
        <w:t>公务车购置费17.88万元，主要用于</w:t>
      </w:r>
      <w:r>
        <w:rPr>
          <w:rFonts w:hint="eastAsia" w:ascii="宋体" w:hAnsi="宋体" w:eastAsia="宋体" w:cs="宋体"/>
          <w:color w:val="auto"/>
          <w:kern w:val="0"/>
          <w:sz w:val="24"/>
          <w:szCs w:val="24"/>
          <w:shd w:val="clear" w:fill="FFFFFF"/>
        </w:rPr>
        <w:t>机要文件交换、市内因公出行、行政业务检查等工作所需车辆。</w:t>
      </w:r>
      <w:r>
        <w:rPr>
          <w:color w:val="auto"/>
          <w:sz w:val="24"/>
          <w:szCs w:val="24"/>
          <w:shd w:val="clear" w:fill="FFFFFF"/>
        </w:rPr>
        <w:t>费用支出较年初预算数增加17.88万元，增长</w:t>
      </w:r>
      <w:r>
        <w:rPr>
          <w:rFonts w:hint="eastAsia"/>
          <w:color w:val="auto"/>
          <w:sz w:val="24"/>
          <w:szCs w:val="24"/>
          <w:shd w:val="clear" w:fill="FFFFFF"/>
          <w:lang w:val="en-US" w:eastAsia="zh-CN"/>
        </w:rPr>
        <w:t>100</w:t>
      </w:r>
      <w:r>
        <w:rPr>
          <w:color w:val="auto"/>
          <w:sz w:val="24"/>
          <w:szCs w:val="24"/>
          <w:shd w:val="clear" w:fill="FFFFFF"/>
        </w:rPr>
        <w:t>%，主要原因是</w:t>
      </w:r>
      <w:r>
        <w:rPr>
          <w:rFonts w:hint="eastAsia"/>
          <w:color w:val="auto"/>
          <w:sz w:val="24"/>
          <w:szCs w:val="24"/>
          <w:shd w:val="clear" w:fill="FFFFFF"/>
          <w:lang w:eastAsia="zh-CN"/>
        </w:rPr>
        <w:t>公务用车购置。</w:t>
      </w:r>
      <w:r>
        <w:rPr>
          <w:rFonts w:hint="eastAsia"/>
          <w:color w:val="auto"/>
          <w:sz w:val="24"/>
          <w:szCs w:val="24"/>
          <w:shd w:val="clear" w:fill="FFFFFF"/>
          <w:lang w:val="en-US" w:eastAsia="zh-CN"/>
        </w:rPr>
        <w:t>2022年购入1辆公务用车。</w:t>
      </w:r>
      <w:r>
        <w:rPr>
          <w:color w:val="auto"/>
          <w:sz w:val="24"/>
          <w:szCs w:val="24"/>
          <w:shd w:val="clear" w:fill="FFFFFF"/>
        </w:rPr>
        <w:t>较上年支出数增加17.88万元，增长</w:t>
      </w:r>
      <w:r>
        <w:rPr>
          <w:rFonts w:hint="eastAsia"/>
          <w:color w:val="auto"/>
          <w:sz w:val="24"/>
          <w:szCs w:val="24"/>
          <w:shd w:val="clear" w:fill="FFFFFF"/>
          <w:lang w:val="en-US" w:eastAsia="zh-CN"/>
        </w:rPr>
        <w:t>100</w:t>
      </w:r>
      <w:r>
        <w:rPr>
          <w:color w:val="auto"/>
          <w:sz w:val="24"/>
          <w:szCs w:val="24"/>
          <w:shd w:val="clear" w:fill="FFFFFF"/>
        </w:rPr>
        <w:t>%，主要原因是</w:t>
      </w:r>
      <w:r>
        <w:rPr>
          <w:rFonts w:hint="eastAsia"/>
          <w:color w:val="auto"/>
          <w:sz w:val="24"/>
          <w:szCs w:val="24"/>
          <w:shd w:val="clear" w:fill="FFFFFF"/>
          <w:lang w:eastAsia="zh-CN"/>
        </w:rPr>
        <w:t>公务用车购置。</w:t>
      </w:r>
      <w:r>
        <w:rPr>
          <w:rFonts w:hint="eastAsia"/>
          <w:color w:val="auto"/>
          <w:sz w:val="24"/>
          <w:szCs w:val="24"/>
          <w:shd w:val="clear" w:fill="FFFFFF"/>
          <w:lang w:val="en-US" w:eastAsia="zh-CN"/>
        </w:rPr>
        <w:t>2022年购入1辆公务用车。</w:t>
      </w:r>
    </w:p>
    <w:p>
      <w:pPr>
        <w:pStyle w:val="2"/>
        <w:keepNext w:val="0"/>
        <w:keepLines w:val="0"/>
        <w:widowControl/>
        <w:suppressLineNumbers w:val="0"/>
        <w:ind w:left="0" w:right="75"/>
        <w:jc w:val="left"/>
      </w:pPr>
      <w:r>
        <w:rPr>
          <w:color w:val="auto"/>
          <w:sz w:val="24"/>
          <w:szCs w:val="24"/>
          <w:shd w:val="clear" w:fill="FFFFFF"/>
        </w:rPr>
        <w:t>公务车运行维护费3.99万元，主要用于</w:t>
      </w:r>
      <w:r>
        <w:rPr>
          <w:rFonts w:hint="eastAsia" w:ascii="宋体" w:hAnsi="宋体" w:eastAsia="宋体" w:cs="宋体"/>
          <w:color w:val="auto"/>
          <w:kern w:val="0"/>
          <w:sz w:val="24"/>
          <w:szCs w:val="24"/>
          <w:shd w:val="clear" w:fill="FFFFFF"/>
        </w:rPr>
        <w:t>机要文件交换、市内因公出行、行政业务检查等工作所需车辆的燃料费、维修费、过桥过路费、保险费等</w:t>
      </w:r>
      <w:r>
        <w:rPr>
          <w:color w:val="auto"/>
          <w:sz w:val="24"/>
          <w:szCs w:val="24"/>
          <w:shd w:val="clear" w:fill="FFFFFF"/>
        </w:rPr>
        <w:t>费用</w:t>
      </w:r>
      <w:r>
        <w:rPr>
          <w:rFonts w:hint="eastAsia"/>
          <w:color w:val="auto"/>
          <w:sz w:val="24"/>
          <w:szCs w:val="24"/>
          <w:shd w:val="clear" w:fill="FFFFFF"/>
          <w:lang w:eastAsia="zh-CN"/>
        </w:rPr>
        <w:t>。</w:t>
      </w:r>
      <w:r>
        <w:rPr>
          <w:color w:val="auto"/>
          <w:sz w:val="24"/>
          <w:szCs w:val="24"/>
          <w:shd w:val="clear" w:fill="FFFFFF"/>
        </w:rPr>
        <w:t>支出较年初预算数减少0.01万元，下降0.3%，主要原因是</w:t>
      </w:r>
      <w:r>
        <w:rPr>
          <w:rFonts w:hint="eastAsia"/>
          <w:color w:val="auto"/>
          <w:sz w:val="24"/>
          <w:szCs w:val="24"/>
          <w:shd w:val="clear" w:fill="FFFFFF"/>
        </w:rPr>
        <w:t>主要原因是严格落实公车使用规定，严禁公车私用。</w:t>
      </w:r>
      <w:r>
        <w:rPr>
          <w:color w:val="auto"/>
          <w:sz w:val="24"/>
          <w:szCs w:val="24"/>
          <w:shd w:val="clear" w:fill="FFFFFF"/>
        </w:rPr>
        <w:t>较上年支出数增加</w:t>
      </w:r>
      <w:r>
        <w:rPr>
          <w:rFonts w:hint="eastAsia"/>
          <w:color w:val="auto"/>
          <w:sz w:val="24"/>
          <w:szCs w:val="24"/>
          <w:shd w:val="clear" w:fill="FFFFFF"/>
          <w:lang w:val="en-US" w:eastAsia="zh-CN"/>
        </w:rPr>
        <w:t>0</w:t>
      </w:r>
      <w:r>
        <w:rPr>
          <w:color w:val="auto"/>
          <w:sz w:val="24"/>
          <w:szCs w:val="24"/>
          <w:shd w:val="clear" w:fill="FFFFFF"/>
        </w:rPr>
        <w:t>万元，增</w:t>
      </w:r>
      <w:r>
        <w:rPr>
          <w:sz w:val="24"/>
          <w:szCs w:val="24"/>
        </w:rPr>
        <w:t>长</w:t>
      </w:r>
      <w:r>
        <w:rPr>
          <w:rFonts w:hint="eastAsia"/>
          <w:sz w:val="24"/>
          <w:szCs w:val="24"/>
          <w:lang w:val="en-US" w:eastAsia="zh-CN"/>
        </w:rPr>
        <w:t>0</w:t>
      </w:r>
      <w:r>
        <w:rPr>
          <w:sz w:val="24"/>
          <w:szCs w:val="24"/>
        </w:rPr>
        <w:t>%，</w:t>
      </w:r>
      <w:r>
        <w:rPr>
          <w:rFonts w:hint="eastAsia"/>
          <w:color w:val="auto"/>
          <w:sz w:val="24"/>
          <w:szCs w:val="24"/>
          <w:shd w:val="clear" w:fill="FFFFFF"/>
          <w:lang w:val="en-US" w:eastAsia="zh-CN"/>
        </w:rPr>
        <w:t>与上年数持平，</w:t>
      </w:r>
    </w:p>
    <w:p>
      <w:pPr>
        <w:pStyle w:val="2"/>
        <w:keepNext w:val="0"/>
        <w:keepLines w:val="0"/>
        <w:widowControl/>
        <w:suppressLineNumbers w:val="0"/>
        <w:jc w:val="left"/>
        <w:rPr>
          <w:rFonts w:hint="eastAsia"/>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 xml:space="preserve">  </w:t>
      </w:r>
      <w:r>
        <w:rPr>
          <w:color w:val="000000" w:themeColor="text1"/>
          <w:sz w:val="24"/>
          <w:szCs w:val="24"/>
          <w14:textFill>
            <w14:solidFill>
              <w14:schemeClr w14:val="tx1"/>
            </w14:solidFill>
          </w14:textFill>
        </w:rPr>
        <w:t>公务接待费9.51万元，主要用于接待</w:t>
      </w:r>
      <w:r>
        <w:rPr>
          <w:color w:val="000000" w:themeColor="text1"/>
          <w:sz w:val="24"/>
          <w:szCs w:val="24"/>
          <w:shd w:val="clear" w:fill="FFFFFF"/>
          <w14:textFill>
            <w14:solidFill>
              <w14:schemeClr w14:val="tx1"/>
            </w14:solidFill>
          </w14:textFill>
        </w:rPr>
        <w:t>接待</w:t>
      </w:r>
      <w:r>
        <w:rPr>
          <w:rFonts w:hint="eastAsia" w:ascii="方正仿宋_GBK" w:hAnsi="微软雅黑" w:eastAsia="方正仿宋_GBK"/>
          <w:color w:val="000000" w:themeColor="text1"/>
          <w:sz w:val="24"/>
          <w:szCs w:val="24"/>
          <w:shd w:val="clear" w:color="auto" w:fill="FFFFFF"/>
          <w14:textFill>
            <w14:solidFill>
              <w14:schemeClr w14:val="tx1"/>
            </w14:solidFill>
          </w14:textFill>
        </w:rPr>
        <w:t>接待招商引资客商等</w:t>
      </w:r>
      <w:r>
        <w:rPr>
          <w:color w:val="000000" w:themeColor="text1"/>
          <w:sz w:val="24"/>
          <w:szCs w:val="24"/>
          <w:shd w:val="clear" w:fill="FFFFFF"/>
          <w14:textFill>
            <w14:solidFill>
              <w14:schemeClr w14:val="tx1"/>
            </w14:solidFill>
          </w14:textFill>
        </w:rPr>
        <w:t>。</w:t>
      </w:r>
      <w:r>
        <w:rPr>
          <w:color w:val="000000" w:themeColor="text1"/>
          <w:sz w:val="24"/>
          <w:szCs w:val="24"/>
          <w14:textFill>
            <w14:solidFill>
              <w14:schemeClr w14:val="tx1"/>
            </w14:solidFill>
          </w14:textFill>
        </w:rPr>
        <w:t>费用支出较年初预算数减少0.48万元，下降4.8%，主要原因是.</w:t>
      </w:r>
      <w:r>
        <w:rPr>
          <w:rFonts w:hint="eastAsia" w:ascii="方正仿宋_GBK" w:hAnsi="微软雅黑" w:eastAsia="方正仿宋_GBK"/>
          <w:color w:val="000000" w:themeColor="text1"/>
          <w:sz w:val="24"/>
          <w:szCs w:val="24"/>
          <w:shd w:val="clear" w:color="auto" w:fill="FFFFFF"/>
          <w14:textFill>
            <w14:solidFill>
              <w14:schemeClr w14:val="tx1"/>
            </w14:solidFill>
          </w14:textFill>
        </w:rPr>
        <w:t>强化公务接待支出管理，严格遵守公务接待开支范围和开支标准，严格控制陪餐人数，对应由接待对象承担的费用一律由接待对象自行支付，严格控制公务接待费。</w:t>
      </w:r>
      <w:r>
        <w:rPr>
          <w:color w:val="000000" w:themeColor="text1"/>
          <w:sz w:val="24"/>
          <w:szCs w:val="24"/>
          <w14:textFill>
            <w14:solidFill>
              <w14:schemeClr w14:val="tx1"/>
            </w14:solidFill>
          </w14:textFill>
        </w:rPr>
        <w:t>较上年支出数</w:t>
      </w:r>
      <w:r>
        <w:rPr>
          <w:rFonts w:hint="eastAsia"/>
          <w:color w:val="000000" w:themeColor="text1"/>
          <w:sz w:val="24"/>
          <w:szCs w:val="24"/>
          <w:lang w:val="en-US" w:eastAsia="zh-CN"/>
          <w14:textFill>
            <w14:solidFill>
              <w14:schemeClr w14:val="tx1"/>
            </w14:solidFill>
          </w14:textFill>
        </w:rPr>
        <w:t>减少0.02</w:t>
      </w:r>
      <w:r>
        <w:rPr>
          <w:color w:val="000000" w:themeColor="text1"/>
          <w:sz w:val="24"/>
          <w:szCs w:val="24"/>
          <w14:textFill>
            <w14:solidFill>
              <w14:schemeClr w14:val="tx1"/>
            </w14:solidFill>
          </w14:textFill>
        </w:rPr>
        <w:t>万元，</w:t>
      </w:r>
      <w:r>
        <w:rPr>
          <w:rFonts w:hint="eastAsia"/>
          <w:color w:val="000000" w:themeColor="text1"/>
          <w:sz w:val="24"/>
          <w:szCs w:val="24"/>
          <w:lang w:val="en-US" w:eastAsia="zh-CN"/>
          <w14:textFill>
            <w14:solidFill>
              <w14:schemeClr w14:val="tx1"/>
            </w14:solidFill>
          </w14:textFill>
        </w:rPr>
        <w:t>下降0.02</w:t>
      </w:r>
      <w:r>
        <w:rPr>
          <w:color w:val="000000" w:themeColor="text1"/>
          <w:sz w:val="24"/>
          <w:szCs w:val="24"/>
          <w14:textFill>
            <w14:solidFill>
              <w14:schemeClr w14:val="tx1"/>
            </w14:solidFill>
          </w14:textFill>
        </w:rPr>
        <w:t>%，主要原因是</w:t>
      </w:r>
      <w:r>
        <w:rPr>
          <w:rFonts w:hint="eastAsia"/>
          <w:color w:val="000000" w:themeColor="text1"/>
          <w:sz w:val="24"/>
          <w:szCs w:val="24"/>
          <w:lang w:val="en-US" w:eastAsia="zh-CN"/>
          <w14:textFill>
            <w14:solidFill>
              <w14:schemeClr w14:val="tx1"/>
            </w14:solidFill>
          </w14:textFill>
        </w:rPr>
        <w:t>厉行节约，减少开支。</w:t>
      </w:r>
    </w:p>
    <w:p>
      <w:pPr>
        <w:pStyle w:val="2"/>
        <w:keepNext w:val="0"/>
        <w:keepLines w:val="0"/>
        <w:widowControl/>
        <w:suppressLineNumbers w:val="0"/>
        <w:jc w:val="left"/>
      </w:pPr>
      <w:r>
        <w:rPr>
          <w:rStyle w:val="4"/>
        </w:rPr>
        <w:t>（三）“三公”经费实物量情况</w:t>
      </w:r>
    </w:p>
    <w:p>
      <w:pPr>
        <w:pStyle w:val="2"/>
        <w:keepNext w:val="0"/>
        <w:keepLines w:val="0"/>
        <w:widowControl/>
        <w:suppressLineNumbers w:val="0"/>
        <w:jc w:val="left"/>
      </w:pPr>
      <w:r>
        <w:t>2022年度本部门因公出国（境）共计0个团组，0人；公务用车购置1辆，公务车保有量为1辆；国内公务接待262批次1,207人，其中：国内外事接待0批次，0人；国（境）外公务接待0批次，0人。2022年本部门人均接待费78.80元，车均购置费17.88万元，车均维护费3.99万元。</w:t>
      </w:r>
    </w:p>
    <w:p>
      <w:pPr>
        <w:pStyle w:val="2"/>
        <w:keepNext w:val="0"/>
        <w:keepLines w:val="0"/>
        <w:widowControl/>
        <w:suppressLineNumbers w:val="0"/>
        <w:jc w:val="left"/>
      </w:pPr>
      <w:r>
        <w:rPr>
          <w:rStyle w:val="4"/>
        </w:rPr>
        <w:t>四、其他需要说明的事项</w:t>
      </w:r>
    </w:p>
    <w:p>
      <w:pPr>
        <w:pStyle w:val="2"/>
        <w:keepNext w:val="0"/>
        <w:keepLines w:val="0"/>
        <w:widowControl/>
        <w:suppressLineNumbers w:val="0"/>
        <w:jc w:val="left"/>
      </w:pPr>
      <w:r>
        <w:rPr>
          <w:rStyle w:val="4"/>
        </w:rPr>
        <w:t>（一）财政拨款会议费和培训费情况说明</w:t>
      </w:r>
    </w:p>
    <w:p>
      <w:pPr>
        <w:pStyle w:val="2"/>
        <w:keepNext w:val="0"/>
        <w:keepLines w:val="0"/>
        <w:widowControl/>
        <w:suppressLineNumbers w:val="0"/>
        <w:jc w:val="left"/>
      </w:pPr>
      <w:r>
        <w:t>本年度会议费支出0.00万元，较上年决算数增加0.00万元，增长</w:t>
      </w:r>
      <w:r>
        <w:rPr>
          <w:rFonts w:hint="eastAsia"/>
          <w:lang w:val="en-US" w:eastAsia="zh-CN"/>
        </w:rPr>
        <w:t>0</w:t>
      </w:r>
      <w:r>
        <w:t>%，</w:t>
      </w:r>
      <w:r>
        <w:rPr>
          <w:rFonts w:hint="eastAsia"/>
          <w:lang w:val="en-US" w:eastAsia="zh-CN"/>
        </w:rPr>
        <w:t>与上年决算数持平。2022年无会议费开支。</w:t>
      </w:r>
      <w:r>
        <w:t>本年度培训费支出1.78万元，较上年决算数增加1.78万元，增长</w:t>
      </w:r>
      <w:r>
        <w:rPr>
          <w:rFonts w:hint="eastAsia"/>
          <w:lang w:val="en-US" w:eastAsia="zh-CN"/>
        </w:rPr>
        <w:t>100</w:t>
      </w:r>
      <w:r>
        <w:t>%，主要原因是</w:t>
      </w:r>
      <w:r>
        <w:rPr>
          <w:rFonts w:hint="eastAsia"/>
          <w:color w:val="000000" w:themeColor="text1"/>
          <w:sz w:val="24"/>
          <w:szCs w:val="24"/>
          <w:lang w:val="en-US" w:eastAsia="zh-CN"/>
          <w14:textFill>
            <w14:solidFill>
              <w14:schemeClr w14:val="tx1"/>
            </w14:solidFill>
          </w14:textFill>
        </w:rPr>
        <w:t>2022年增加外出培训。</w:t>
      </w:r>
    </w:p>
    <w:p>
      <w:pPr>
        <w:pStyle w:val="2"/>
        <w:keepNext w:val="0"/>
        <w:keepLines w:val="0"/>
        <w:widowControl/>
        <w:suppressLineNumbers w:val="0"/>
        <w:jc w:val="left"/>
      </w:pPr>
      <w:r>
        <w:rPr>
          <w:rStyle w:val="4"/>
        </w:rPr>
        <w:t>（二）机关运行经费支出情况说明</w:t>
      </w:r>
    </w:p>
    <w:p>
      <w:pPr>
        <w:pStyle w:val="2"/>
        <w:keepNext w:val="0"/>
        <w:keepLines w:val="0"/>
        <w:widowControl/>
        <w:suppressLineNumbers w:val="0"/>
        <w:jc w:val="left"/>
      </w:pPr>
      <w:r>
        <w:t>2022年度本部门机关运行经费支出34.42万元，主要用于开支</w:t>
      </w:r>
      <w:r>
        <w:rPr>
          <w:rFonts w:hint="eastAsia"/>
        </w:rPr>
        <w:t>机关运行经费主要用于开支办公费、水费、电费等</w:t>
      </w:r>
      <w:r>
        <w:t>。</w:t>
      </w:r>
      <w:r>
        <w:t>机关运行经费较上年决算数</w:t>
      </w:r>
      <w:r>
        <w:rPr>
          <w:rFonts w:hint="eastAsia"/>
          <w:lang w:val="en-US" w:eastAsia="zh-CN"/>
        </w:rPr>
        <w:t>减少25.97</w:t>
      </w:r>
      <w:r>
        <w:t>万元，</w:t>
      </w:r>
      <w:r>
        <w:rPr>
          <w:rFonts w:hint="eastAsia"/>
          <w:lang w:val="en-US" w:eastAsia="zh-CN"/>
        </w:rPr>
        <w:t>下降43</w:t>
      </w:r>
      <w:r>
        <w:t>%，主要原因是</w:t>
      </w:r>
      <w:r>
        <w:rPr>
          <w:rFonts w:hint="eastAsia"/>
          <w:lang w:val="en-US" w:eastAsia="zh-CN"/>
        </w:rPr>
        <w:t>财政要求各预算单位牢固树立“过紧日子”思想，2022年公用经费拨款减少</w:t>
      </w:r>
      <w:r>
        <w:rPr>
          <w:rFonts w:hint="eastAsia"/>
          <w:color w:val="000000" w:themeColor="text1"/>
          <w:sz w:val="24"/>
          <w:szCs w:val="24"/>
          <w:lang w:val="en-US" w:eastAsia="zh-CN"/>
          <w14:textFill>
            <w14:solidFill>
              <w14:schemeClr w14:val="tx1"/>
            </w14:solidFill>
          </w14:textFill>
        </w:rPr>
        <w:t>。</w:t>
      </w:r>
    </w:p>
    <w:p>
      <w:pPr>
        <w:pStyle w:val="2"/>
        <w:keepNext w:val="0"/>
        <w:keepLines w:val="0"/>
        <w:widowControl/>
        <w:suppressLineNumbers w:val="0"/>
        <w:jc w:val="left"/>
      </w:pPr>
      <w:r>
        <w:rPr>
          <w:rStyle w:val="4"/>
        </w:rPr>
        <w:t>（三）国有资产占用情况说明</w:t>
      </w:r>
    </w:p>
    <w:p>
      <w:pPr>
        <w:pStyle w:val="2"/>
        <w:keepNext w:val="0"/>
        <w:keepLines w:val="0"/>
        <w:widowControl/>
        <w:suppressLineNumbers w:val="0"/>
        <w:jc w:val="left"/>
      </w:pPr>
      <w:r>
        <w:t>截至2022年12月31日，本部门共有车辆1辆，其中，副部（省）级及以上领导用车0辆、主要领导干部用车0辆、机要通信用车0辆、应急保障用车1辆、执法执勤用车0辆，特种专业技术用车0辆，离退休干部用车0辆，其他用车0辆。单价100万元（含）以上设备（不含车辆）0台（套）。</w:t>
      </w:r>
    </w:p>
    <w:p>
      <w:pPr>
        <w:pStyle w:val="2"/>
        <w:keepNext w:val="0"/>
        <w:keepLines w:val="0"/>
        <w:widowControl/>
        <w:suppressLineNumbers w:val="0"/>
        <w:jc w:val="left"/>
      </w:pPr>
      <w:r>
        <w:rPr>
          <w:rStyle w:val="4"/>
        </w:rPr>
        <w:t>（四）政府采购支出说明</w:t>
      </w:r>
    </w:p>
    <w:p>
      <w:pPr>
        <w:pStyle w:val="2"/>
        <w:keepNext w:val="0"/>
        <w:keepLines w:val="0"/>
        <w:widowControl/>
        <w:suppressLineNumbers w:val="0"/>
        <w:jc w:val="left"/>
      </w:pPr>
      <w:r>
        <w:t>2022年度本部门政府采购支出总额0.00万元，其中：政府采购货物支出0.00万元、政府采购工程支出0.00万元、政府采购服务支出0.00万元。授予中小企业合同金额0.00万元，占政府采购支出总额的%，其中：授予小微企业合同金额0.00万元，占政府采购支出总额的%。</w:t>
      </w:r>
    </w:p>
    <w:p>
      <w:pPr>
        <w:pStyle w:val="2"/>
        <w:keepNext w:val="0"/>
        <w:keepLines w:val="0"/>
        <w:widowControl/>
        <w:suppressLineNumbers w:val="0"/>
        <w:jc w:val="left"/>
      </w:pPr>
      <w:r>
        <w:rPr>
          <w:rStyle w:val="4"/>
        </w:rPr>
        <w:t>五、预算绩效管理情况说明</w:t>
      </w:r>
    </w:p>
    <w:p>
      <w:pPr>
        <w:pStyle w:val="2"/>
        <w:keepNext w:val="0"/>
        <w:keepLines w:val="0"/>
        <w:widowControl/>
        <w:suppressLineNumbers w:val="0"/>
        <w:jc w:val="left"/>
      </w:pPr>
      <w:r>
        <w:rPr>
          <w:rStyle w:val="4"/>
        </w:rPr>
        <w:t>（一）预算绩效管理工作开展情况</w:t>
      </w:r>
    </w:p>
    <w:p>
      <w:pPr>
        <w:pStyle w:val="2"/>
        <w:keepNext w:val="0"/>
        <w:keepLines w:val="0"/>
        <w:widowControl/>
        <w:suppressLineNumbers w:val="0"/>
        <w:jc w:val="left"/>
        <w:rPr>
          <w:rFonts w:hint="eastAsia"/>
          <w:lang w:eastAsia="zh-CN"/>
        </w:rPr>
      </w:pPr>
      <w:r>
        <w:rPr>
          <w:rFonts w:hint="eastAsia"/>
        </w:rPr>
        <w:t>根据预算绩效管理要求，我委对部门整体和</w:t>
      </w:r>
      <w:r>
        <w:rPr>
          <w:rFonts w:hint="eastAsia"/>
          <w:lang w:val="en-US" w:eastAsia="zh-CN"/>
        </w:rPr>
        <w:t>6</w:t>
      </w:r>
      <w:r>
        <w:rPr>
          <w:rFonts w:hint="eastAsia"/>
        </w:rPr>
        <w:t>个项目开展了绩效自评，其中，以填报自评表形式开展自评</w:t>
      </w:r>
      <w:r>
        <w:rPr>
          <w:rFonts w:hint="eastAsia"/>
          <w:lang w:val="en-US" w:eastAsia="zh-CN"/>
        </w:rPr>
        <w:t>6</w:t>
      </w:r>
      <w:r>
        <w:rPr>
          <w:rFonts w:hint="eastAsia"/>
        </w:rPr>
        <w:t>项，涉及资金135727万元</w:t>
      </w:r>
      <w:r>
        <w:rPr>
          <w:rFonts w:hint="eastAsia"/>
          <w:lang w:eastAsia="zh-CN"/>
        </w:rPr>
        <w:t>。</w:t>
      </w:r>
    </w:p>
    <w:p>
      <w:pPr>
        <w:pStyle w:val="2"/>
        <w:keepNext w:val="0"/>
        <w:keepLines w:val="0"/>
        <w:widowControl/>
        <w:suppressLineNumbers w:val="0"/>
        <w:jc w:val="left"/>
      </w:pPr>
      <w:r>
        <w:rPr>
          <w:rStyle w:val="4"/>
        </w:rPr>
        <w:t>（二）绩效自评结果。</w:t>
      </w:r>
    </w:p>
    <w:p>
      <w:pPr>
        <w:pStyle w:val="2"/>
        <w:keepNext w:val="0"/>
        <w:keepLines w:val="0"/>
        <w:widowControl/>
        <w:suppressLineNumbers w:val="0"/>
        <w:jc w:val="left"/>
        <w:rPr>
          <w:rFonts w:hint="eastAsia" w:eastAsiaTheme="minorEastAsia"/>
          <w:lang w:eastAsia="zh-CN"/>
        </w:rPr>
      </w:pPr>
      <w:r>
        <w:rPr>
          <w:rStyle w:val="4"/>
        </w:rPr>
        <w:t>1.绩效目标自评表。</w:t>
      </w:r>
      <w:r>
        <w:rPr>
          <w:rStyle w:val="4"/>
          <w:rFonts w:hint="eastAsia"/>
          <w:lang w:eastAsia="zh-CN"/>
        </w:rPr>
        <w:t>（附件</w:t>
      </w:r>
      <w:r>
        <w:rPr>
          <w:rStyle w:val="4"/>
          <w:rFonts w:hint="eastAsia"/>
          <w:lang w:val="en-US" w:eastAsia="zh-CN"/>
        </w:rPr>
        <w:t>7个表，其中：1个整体绩效表，6个项目经费表</w:t>
      </w:r>
      <w:r>
        <w:rPr>
          <w:rStyle w:val="4"/>
          <w:rFonts w:hint="eastAsia"/>
          <w:lang w:eastAsia="zh-CN"/>
        </w:rPr>
        <w:t>）</w:t>
      </w:r>
    </w:p>
    <w:p>
      <w:pPr>
        <w:pStyle w:val="2"/>
        <w:keepNext w:val="0"/>
        <w:keepLines w:val="0"/>
        <w:widowControl/>
        <w:suppressLineNumbers w:val="0"/>
        <w:jc w:val="left"/>
        <w:rPr>
          <w:rStyle w:val="4"/>
        </w:rPr>
      </w:pPr>
      <w:r>
        <w:rPr>
          <w:rStyle w:val="4"/>
        </w:rPr>
        <w:t>2.绩效自评报告或案例。</w:t>
      </w:r>
    </w:p>
    <w:p>
      <w:pPr>
        <w:pStyle w:val="2"/>
        <w:shd w:val="clear" w:color="auto" w:fill="FFFFFF"/>
        <w:spacing w:before="0" w:beforeAutospacing="0" w:line="720" w:lineRule="atLeast"/>
        <w:ind w:firstLine="540"/>
        <w:jc w:val="both"/>
        <w:rPr>
          <w:rFonts w:hint="eastAsia" w:ascii="微软雅黑" w:hAnsi="微软雅黑" w:eastAsia="微软雅黑"/>
          <w:color w:val="auto"/>
          <w:sz w:val="24"/>
          <w:szCs w:val="24"/>
        </w:rPr>
      </w:pPr>
      <w:r>
        <w:rPr>
          <w:rFonts w:hint="eastAsia"/>
        </w:rPr>
        <w:t>从评价情况来看， 首先，海棠新城管委会重视预算绩效，并逐步完成预算编制、评估等机制。同时也重视预算绩效的评估结果，将其作为管委会年度考核重要依据。另外，海棠新城管委会一直将预算绩效机制的可靠性和权威性作为年度预算的核心内容，从而发挥出预算绩效的潜在价值，在预算管理上实行了“统一预算、本级管理”的方针。自202</w:t>
      </w:r>
      <w:r>
        <w:rPr>
          <w:rFonts w:hint="eastAsia"/>
          <w:lang w:val="en-US" w:eastAsia="zh-CN"/>
        </w:rPr>
        <w:t>2</w:t>
      </w:r>
      <w:r>
        <w:rPr>
          <w:rFonts w:hint="eastAsia"/>
        </w:rPr>
        <w:t>年以来，我委对天宫河片区开发项目</w:t>
      </w:r>
      <w:r>
        <w:rPr>
          <w:rFonts w:hint="eastAsia"/>
          <w:lang w:eastAsia="zh-CN"/>
        </w:rPr>
        <w:t>，</w:t>
      </w:r>
      <w:r>
        <w:rPr>
          <w:rFonts w:hint="eastAsia"/>
        </w:rPr>
        <w:t xml:space="preserve"> 海棠新城职业教育城①②③④项目</w:t>
      </w:r>
      <w:r>
        <w:rPr>
          <w:rFonts w:hint="eastAsia"/>
          <w:lang w:eastAsia="zh-CN"/>
        </w:rPr>
        <w:t>，</w:t>
      </w:r>
      <w:r>
        <w:rPr>
          <w:rFonts w:hint="eastAsia"/>
        </w:rPr>
        <w:t xml:space="preserve"> 大足区学前教育及职业教育提升改造工程整体社会效益及满意度等各项指标调查，基本情况是服务对象对实施满意度达较高。基础设施建设对社会效益和经济效益明显，达到了预期效果。</w:t>
      </w:r>
    </w:p>
    <w:p>
      <w:pPr>
        <w:pStyle w:val="2"/>
        <w:keepNext w:val="0"/>
        <w:keepLines w:val="0"/>
        <w:widowControl/>
        <w:suppressLineNumbers w:val="0"/>
        <w:jc w:val="left"/>
        <w:rPr>
          <w:rStyle w:val="4"/>
        </w:rPr>
      </w:pPr>
    </w:p>
    <w:p>
      <w:pPr>
        <w:pStyle w:val="2"/>
        <w:keepNext w:val="0"/>
        <w:keepLines w:val="0"/>
        <w:widowControl/>
        <w:numPr>
          <w:ilvl w:val="0"/>
          <w:numId w:val="2"/>
        </w:numPr>
        <w:suppressLineNumbers w:val="0"/>
        <w:jc w:val="left"/>
        <w:rPr>
          <w:rFonts w:hint="eastAsia"/>
        </w:rPr>
      </w:pPr>
      <w:r>
        <w:rPr>
          <w:rStyle w:val="4"/>
        </w:rPr>
        <w:t>关于绩效自评结果的说明。</w:t>
      </w:r>
    </w:p>
    <w:p>
      <w:pPr>
        <w:pStyle w:val="2"/>
        <w:keepNext w:val="0"/>
        <w:keepLines w:val="0"/>
        <w:widowControl/>
        <w:numPr>
          <w:numId w:val="0"/>
        </w:numPr>
        <w:suppressLineNumbers w:val="0"/>
        <w:ind w:right="0" w:rightChars="0"/>
        <w:jc w:val="left"/>
        <w:rPr>
          <w:rFonts w:hint="eastAsia"/>
        </w:rPr>
      </w:pPr>
      <w:r>
        <w:rPr>
          <w:rFonts w:hint="eastAsia"/>
        </w:rPr>
        <w:t>我委暂无未完成年度绩效目标的项目</w:t>
      </w:r>
    </w:p>
    <w:p>
      <w:pPr>
        <w:pStyle w:val="2"/>
        <w:keepNext w:val="0"/>
        <w:keepLines w:val="0"/>
        <w:widowControl/>
        <w:numPr>
          <w:ilvl w:val="0"/>
          <w:numId w:val="0"/>
        </w:numPr>
        <w:suppressLineNumbers w:val="0"/>
        <w:ind w:right="0" w:rightChars="0"/>
        <w:jc w:val="left"/>
        <w:rPr>
          <w:rStyle w:val="4"/>
        </w:rPr>
      </w:pPr>
    </w:p>
    <w:p>
      <w:pPr>
        <w:pStyle w:val="2"/>
        <w:keepNext w:val="0"/>
        <w:keepLines w:val="0"/>
        <w:widowControl/>
        <w:suppressLineNumbers w:val="0"/>
        <w:jc w:val="left"/>
        <w:rPr>
          <w:rFonts w:hint="eastAsia" w:eastAsiaTheme="minorEastAsia"/>
          <w:lang w:eastAsia="zh-CN"/>
        </w:rPr>
      </w:pPr>
      <w:r>
        <w:rPr>
          <w:rStyle w:val="4"/>
        </w:rPr>
        <w:t>（三）重点绩效评价结果。</w:t>
      </w:r>
      <w:r>
        <w:rPr>
          <w:rStyle w:val="4"/>
          <w:rFonts w:hint="eastAsia"/>
          <w:lang w:eastAsia="zh-CN"/>
        </w:rPr>
        <w:t>无</w:t>
      </w:r>
    </w:p>
    <w:p>
      <w:pPr>
        <w:pStyle w:val="2"/>
        <w:keepNext w:val="0"/>
        <w:keepLines w:val="0"/>
        <w:widowControl/>
        <w:suppressLineNumbers w:val="0"/>
        <w:jc w:val="left"/>
      </w:pPr>
      <w:r>
        <w:rPr>
          <w:rStyle w:val="4"/>
        </w:rPr>
        <w:t>六、专业名词解释</w:t>
      </w:r>
    </w:p>
    <w:p>
      <w:pPr>
        <w:pStyle w:val="2"/>
        <w:keepNext w:val="0"/>
        <w:keepLines w:val="0"/>
        <w:widowControl/>
        <w:suppressLineNumbers w:val="0"/>
        <w:jc w:val="left"/>
      </w:pPr>
      <w:r>
        <w:rPr>
          <w:rStyle w:val="4"/>
        </w:rPr>
        <w:t>（一）财政拨款收入</w:t>
      </w:r>
      <w:r>
        <w:t>：指本年度从本级财政部门取得的财政拨款，包括一般公共预算财政拨款和政府性基金预算财政拨款。</w:t>
      </w:r>
    </w:p>
    <w:p>
      <w:pPr>
        <w:pStyle w:val="2"/>
        <w:keepNext w:val="0"/>
        <w:keepLines w:val="0"/>
        <w:widowControl/>
        <w:suppressLineNumbers w:val="0"/>
        <w:jc w:val="left"/>
      </w:pPr>
      <w:r>
        <w:rPr>
          <w:rStyle w:val="4"/>
        </w:rPr>
        <w:t>（二）事业收入</w:t>
      </w:r>
      <w:r>
        <w:t>：指事业单位开展专业业务活动及其辅助活动取得的现金流入；事业单位收到的财政专户实际核拨的教育收费等资金在此反映。</w:t>
      </w:r>
    </w:p>
    <w:p>
      <w:pPr>
        <w:pStyle w:val="2"/>
        <w:keepNext w:val="0"/>
        <w:keepLines w:val="0"/>
        <w:widowControl/>
        <w:suppressLineNumbers w:val="0"/>
        <w:jc w:val="left"/>
      </w:pPr>
      <w:r>
        <w:rPr>
          <w:rStyle w:val="4"/>
        </w:rPr>
        <w:t>（三）经营收入</w:t>
      </w:r>
      <w:r>
        <w:t>：指事业单位在专业业务活动及其辅助活动之外开展非独立核算经营活动取得的现金流入。</w:t>
      </w:r>
    </w:p>
    <w:p>
      <w:pPr>
        <w:pStyle w:val="2"/>
        <w:keepNext w:val="0"/>
        <w:keepLines w:val="0"/>
        <w:widowControl/>
        <w:suppressLineNumbers w:val="0"/>
        <w:jc w:val="left"/>
      </w:pPr>
      <w:r>
        <w:rPr>
          <w:rStyle w:val="4"/>
        </w:rPr>
        <w:t>（四）其他收入</w:t>
      </w:r>
      <w:r>
        <w:t>：指单位取得的除“财政拨款收入”、“事业收入”、“经营收入”等以外的收入，包括未纳入财政预算或财政专户管理的投资收益、银行存款利息收入、租金收入、捐赠收入，现金盘盈收入、存货盘盈收入、收回已核销的应收及预付款项、无法偿付的应付及预收款项等。各单位从本级财政部门以外的同级单位取得的经费、从非本级财政部门取得的经费，以及行政单位收到的财政专户管理资金反映在本项内。</w:t>
      </w:r>
    </w:p>
    <w:p>
      <w:pPr>
        <w:pStyle w:val="2"/>
        <w:keepNext w:val="0"/>
        <w:keepLines w:val="0"/>
        <w:widowControl/>
        <w:suppressLineNumbers w:val="0"/>
        <w:jc w:val="left"/>
      </w:pPr>
      <w:r>
        <w:rPr>
          <w:rStyle w:val="4"/>
        </w:rPr>
        <w:t>（五）使用非财政拨款结余</w:t>
      </w:r>
      <w:r>
        <w:t>：指单位在当年的“财政拨款收入”、“事业收入”、“经营收入”、“其他收入”等不足以安排当年支出的情况下，使用以前年度积累的非财政拨款结余弥补本年度收支缺口的资金。</w:t>
      </w:r>
    </w:p>
    <w:p>
      <w:pPr>
        <w:pStyle w:val="2"/>
        <w:keepNext w:val="0"/>
        <w:keepLines w:val="0"/>
        <w:widowControl/>
        <w:suppressLineNumbers w:val="0"/>
        <w:jc w:val="left"/>
      </w:pPr>
      <w:r>
        <w:rPr>
          <w:rStyle w:val="4"/>
        </w:rPr>
        <w:t>（六）年初结转和结余</w:t>
      </w:r>
      <w:r>
        <w:t>：指单位上年结转本年使用的基本支出结转、项目支出结转和结余、经营结余。</w:t>
      </w:r>
    </w:p>
    <w:p>
      <w:pPr>
        <w:pStyle w:val="2"/>
        <w:keepNext w:val="0"/>
        <w:keepLines w:val="0"/>
        <w:widowControl/>
        <w:suppressLineNumbers w:val="0"/>
        <w:jc w:val="left"/>
      </w:pPr>
      <w:r>
        <w:rPr>
          <w:rStyle w:val="4"/>
        </w:rPr>
        <w:t>（七）结余分配</w:t>
      </w:r>
      <w:r>
        <w:t>：指单位按照国家有关规定，缴纳所得税、提取专用基金、转入非财政拨款结余等当年结余的分配情况。</w:t>
      </w:r>
    </w:p>
    <w:p>
      <w:pPr>
        <w:pStyle w:val="2"/>
        <w:keepNext w:val="0"/>
        <w:keepLines w:val="0"/>
        <w:widowControl/>
        <w:suppressLineNumbers w:val="0"/>
        <w:jc w:val="left"/>
      </w:pPr>
      <w:r>
        <w:rPr>
          <w:rStyle w:val="4"/>
        </w:rPr>
        <w:t>（八）年末结转和结余</w:t>
      </w:r>
      <w:r>
        <w:t>：指单位结转下年的基本支出结转、项目支出结转和结余、经营结余。</w:t>
      </w:r>
    </w:p>
    <w:p>
      <w:pPr>
        <w:pStyle w:val="2"/>
        <w:keepNext w:val="0"/>
        <w:keepLines w:val="0"/>
        <w:widowControl/>
        <w:suppressLineNumbers w:val="0"/>
        <w:jc w:val="left"/>
      </w:pPr>
      <w:r>
        <w:rPr>
          <w:rStyle w:val="4"/>
        </w:rPr>
        <w:t>（九）基本支出</w:t>
      </w:r>
      <w:r>
        <w:t>：指为保障机构正常运转、完成日常工作任务而发生的人员经费和公用经费。其中：人员经费指政府收支分类经济科目中的“工资福利支出”和“对个人和家庭的补助”；公用经费指政府收支分类经济科目中除“工资福利支出”和“对个人和家庭的补助”外的其他支出。</w:t>
      </w:r>
    </w:p>
    <w:p>
      <w:pPr>
        <w:pStyle w:val="2"/>
        <w:keepNext w:val="0"/>
        <w:keepLines w:val="0"/>
        <w:widowControl/>
        <w:suppressLineNumbers w:val="0"/>
        <w:jc w:val="left"/>
      </w:pPr>
      <w:r>
        <w:rPr>
          <w:rStyle w:val="4"/>
        </w:rPr>
        <w:t>（十）项目支出</w:t>
      </w:r>
      <w:r>
        <w:t>：指在基本支出之外为完成特定行政任务和事业发展目标所发生的支出。</w:t>
      </w:r>
    </w:p>
    <w:p>
      <w:pPr>
        <w:pStyle w:val="2"/>
        <w:keepNext w:val="0"/>
        <w:keepLines w:val="0"/>
        <w:widowControl/>
        <w:suppressLineNumbers w:val="0"/>
        <w:jc w:val="left"/>
      </w:pPr>
      <w:r>
        <w:rPr>
          <w:rStyle w:val="4"/>
        </w:rPr>
        <w:t>（十一）经营支出</w:t>
      </w:r>
      <w:r>
        <w:t>：指事业单位在专业业务活动及其辅助活动之外开展非独立核算经营活动发生的支出。</w:t>
      </w:r>
    </w:p>
    <w:p>
      <w:pPr>
        <w:pStyle w:val="2"/>
        <w:keepNext w:val="0"/>
        <w:keepLines w:val="0"/>
        <w:widowControl/>
        <w:suppressLineNumbers w:val="0"/>
        <w:jc w:val="left"/>
      </w:pPr>
      <w:r>
        <w:rPr>
          <w:rStyle w:val="4"/>
        </w:rPr>
        <w:t>（十二）“三公”经费</w:t>
      </w:r>
      <w:r>
        <w:t>：指用财政拨款安排的因公出国（境）费、公务用车购置及运行维护费、公务接待费。其中，因公出国（境）费反映单位公务出国（境）的国际旅费、国外城市间交通费、住宿费、伙食费、培训费、公杂费等支出；公务用车购置费反映单位公务用车购置支出（含车辆购置税）；公务用车运行维护费反映单位按规定保留的公务用车燃料费、维修费、过路过桥费、保险费、安全奖励费用等支出；公务接待费反映单位按规定开支的各类公务接待（含外宾接待）支出。</w:t>
      </w:r>
    </w:p>
    <w:p>
      <w:pPr>
        <w:pStyle w:val="2"/>
        <w:keepNext w:val="0"/>
        <w:keepLines w:val="0"/>
        <w:widowControl/>
        <w:suppressLineNumbers w:val="0"/>
        <w:jc w:val="left"/>
      </w:pPr>
      <w:r>
        <w:rPr>
          <w:rStyle w:val="4"/>
        </w:rPr>
        <w:t>（十三）机关运行经费</w:t>
      </w:r>
      <w:r>
        <w:t>：为保障行政单位（含参照公务员法管理的事业单位）运行用于购买货物和服务等的各项公用经费，包括办公及印刷费、邮电费、差旅费、会议费、福利费、日常维护费、专用材料及一般设备购置费、办公用房水电费、办公用房取暖费、办公用房物业管理费、公务用车运行维护费以及其他费用。</w:t>
      </w:r>
    </w:p>
    <w:p>
      <w:pPr>
        <w:pStyle w:val="2"/>
        <w:keepNext w:val="0"/>
        <w:keepLines w:val="0"/>
        <w:widowControl/>
        <w:suppressLineNumbers w:val="0"/>
        <w:jc w:val="left"/>
      </w:pPr>
      <w:r>
        <w:rPr>
          <w:rStyle w:val="4"/>
        </w:rPr>
        <w:t>（十四）工资福利支出（支出经济分类科目类级）</w:t>
      </w:r>
      <w:r>
        <w:t>：反映单位开支的在职职工和编制外长期聘用人员的各类劳动报酬，以及为上述人员缴纳的各项社会保险费等。</w:t>
      </w:r>
    </w:p>
    <w:p>
      <w:pPr>
        <w:pStyle w:val="2"/>
        <w:keepNext w:val="0"/>
        <w:keepLines w:val="0"/>
        <w:widowControl/>
        <w:suppressLineNumbers w:val="0"/>
        <w:jc w:val="left"/>
      </w:pPr>
      <w:r>
        <w:rPr>
          <w:rStyle w:val="4"/>
        </w:rPr>
        <w:t>（十五）商品和服务支出（支出经济分类科目类级）</w:t>
      </w:r>
      <w:r>
        <w:t>：反映单位购买商品和服务的支出（不包括用于购置固定资产的支出、战略性和应急储备支出）。</w:t>
      </w:r>
    </w:p>
    <w:p>
      <w:pPr>
        <w:pStyle w:val="2"/>
        <w:keepNext w:val="0"/>
        <w:keepLines w:val="0"/>
        <w:widowControl/>
        <w:suppressLineNumbers w:val="0"/>
        <w:jc w:val="left"/>
      </w:pPr>
      <w:r>
        <w:rPr>
          <w:rStyle w:val="4"/>
        </w:rPr>
        <w:t>（十六）对个人和家庭的补助（支出经济分类科目类级）</w:t>
      </w:r>
      <w:r>
        <w:t>：反映用于对个人和家庭的补助支出。</w:t>
      </w:r>
    </w:p>
    <w:p>
      <w:pPr>
        <w:pStyle w:val="2"/>
        <w:keepNext w:val="0"/>
        <w:keepLines w:val="0"/>
        <w:widowControl/>
        <w:suppressLineNumbers w:val="0"/>
        <w:jc w:val="left"/>
      </w:pPr>
      <w:r>
        <w:rPr>
          <w:rStyle w:val="4"/>
        </w:rPr>
        <w:t>（十七）其他资本性支出（支出经济分类科目类级）</w:t>
      </w:r>
      <w:r>
        <w:t>：反映非各级发展与改革部门集中安排的用于购置固定资产、战略性和应急性储备、土地和无形资产，以及构建基础设施、大型修缮和财政支持企业更新改造所发生的支出。</w:t>
      </w:r>
    </w:p>
    <w:p>
      <w:pPr>
        <w:pStyle w:val="2"/>
        <w:keepNext w:val="0"/>
        <w:keepLines w:val="0"/>
        <w:widowControl/>
        <w:suppressLineNumbers w:val="0"/>
        <w:jc w:val="left"/>
      </w:pPr>
      <w:r>
        <w:rPr>
          <w:rStyle w:val="4"/>
        </w:rPr>
        <w:t>七、决算公开联系方式及信息反馈渠道</w:t>
      </w:r>
    </w:p>
    <w:p>
      <w:pPr>
        <w:pStyle w:val="2"/>
        <w:keepNext w:val="0"/>
        <w:keepLines w:val="0"/>
        <w:widowControl/>
        <w:suppressLineNumbers w:val="0"/>
        <w:jc w:val="left"/>
      </w:pPr>
      <w:r>
        <w:t>本单位决算公开信息反馈和联系方式：</w:t>
      </w:r>
    </w:p>
    <w:p>
      <w:pPr>
        <w:pStyle w:val="2"/>
        <w:keepNext w:val="0"/>
        <w:keepLines w:val="0"/>
        <w:widowControl/>
        <w:suppressLineNumbers w:val="0"/>
        <w:jc w:val="left"/>
      </w:pPr>
      <w:r>
        <w:rPr>
          <w:rFonts w:hint="eastAsia"/>
          <w:lang w:val="en-US" w:eastAsia="zh-CN"/>
        </w:rPr>
        <w:t>联系人：龙云   联系方式：</w:t>
      </w:r>
      <w:r>
        <w:t>   023-</w:t>
      </w:r>
      <w:r>
        <w:rPr>
          <w:rFonts w:hint="eastAsia"/>
          <w:lang w:val="en-US" w:eastAsia="zh-CN"/>
        </w:rPr>
        <w:t>43785289</w:t>
      </w:r>
    </w:p>
    <w:p>
      <w:bookmarkStart w:id="11" w:name="_GoBack"/>
      <w:bookmarkEnd w:id="11"/>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4002EFF" w:usb1="C000247B" w:usb2="00000009" w:usb3="00000000" w:csb0="200001FF" w:csb1="00000000"/>
  </w:font>
  <w:font w:name="方正仿宋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Arial">
    <w:panose1 w:val="020B0604020202020204"/>
    <w:charset w:val="00"/>
    <w:family w:val="auto"/>
    <w:pitch w:val="default"/>
    <w:sig w:usb0="E0002EFF" w:usb1="C000785B" w:usb2="00000009" w:usb3="00000000" w:csb0="400001FF" w:csb1="FFFF0000"/>
  </w:font>
  <w:font w:name="Tahoma">
    <w:panose1 w:val="020B0604030504040204"/>
    <w:charset w:val="00"/>
    <w:family w:val="auto"/>
    <w:pitch w:val="default"/>
    <w:sig w:usb0="E1002EFF" w:usb1="C000605B" w:usb2="00000029" w:usb3="00000000" w:csb0="200101FF" w:csb1="20280000"/>
  </w:font>
  <w:font w:name="方正仿宋_GBK">
    <w:altName w:val="微软雅黑"/>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95194AA"/>
    <w:multiLevelType w:val="singleLevel"/>
    <w:tmpl w:val="495194AA"/>
    <w:lvl w:ilvl="0" w:tentative="0">
      <w:start w:val="3"/>
      <w:numFmt w:val="decimal"/>
      <w:lvlText w:val="%1."/>
      <w:lvlJc w:val="left"/>
      <w:pPr>
        <w:tabs>
          <w:tab w:val="left" w:pos="312"/>
        </w:tabs>
      </w:pPr>
    </w:lvl>
  </w:abstractNum>
  <w:abstractNum w:abstractNumId="1">
    <w:nsid w:val="65E726AE"/>
    <w:multiLevelType w:val="singleLevel"/>
    <w:tmpl w:val="65E726AE"/>
    <w:lvl w:ilvl="0" w:tentative="0">
      <w:start w:val="6"/>
      <w:numFmt w:val="chineseCounting"/>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2"/>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24014F2"/>
    <w:rsid w:val="01130897"/>
    <w:rsid w:val="01383ECE"/>
    <w:rsid w:val="056C4EFF"/>
    <w:rsid w:val="05D701CA"/>
    <w:rsid w:val="0859795A"/>
    <w:rsid w:val="091E00C4"/>
    <w:rsid w:val="0A9028CE"/>
    <w:rsid w:val="0C4D4EBC"/>
    <w:rsid w:val="0CFD1477"/>
    <w:rsid w:val="0D692D72"/>
    <w:rsid w:val="0DD01050"/>
    <w:rsid w:val="0DFD1A80"/>
    <w:rsid w:val="0F1F22FB"/>
    <w:rsid w:val="0FE8343F"/>
    <w:rsid w:val="10DC74E4"/>
    <w:rsid w:val="15051DC7"/>
    <w:rsid w:val="15C14CEB"/>
    <w:rsid w:val="15D81042"/>
    <w:rsid w:val="160C1184"/>
    <w:rsid w:val="164D2043"/>
    <w:rsid w:val="170B0B35"/>
    <w:rsid w:val="19DB02C8"/>
    <w:rsid w:val="1A3F3969"/>
    <w:rsid w:val="1A7B24D0"/>
    <w:rsid w:val="1ACD67AB"/>
    <w:rsid w:val="1E4214EB"/>
    <w:rsid w:val="1EC6387D"/>
    <w:rsid w:val="1F063CB9"/>
    <w:rsid w:val="21CA52BA"/>
    <w:rsid w:val="23C05AC6"/>
    <w:rsid w:val="269937D0"/>
    <w:rsid w:val="292D3BCF"/>
    <w:rsid w:val="2B10031F"/>
    <w:rsid w:val="2B3F4E43"/>
    <w:rsid w:val="2C4C124B"/>
    <w:rsid w:val="2C6B7845"/>
    <w:rsid w:val="2C942CB7"/>
    <w:rsid w:val="2D5A6FCE"/>
    <w:rsid w:val="2D83768F"/>
    <w:rsid w:val="2ECF403A"/>
    <w:rsid w:val="30042177"/>
    <w:rsid w:val="304541B2"/>
    <w:rsid w:val="30553FDF"/>
    <w:rsid w:val="3110300A"/>
    <w:rsid w:val="31495B2E"/>
    <w:rsid w:val="32944E71"/>
    <w:rsid w:val="34B12937"/>
    <w:rsid w:val="386B4212"/>
    <w:rsid w:val="39A91F36"/>
    <w:rsid w:val="39BA67DD"/>
    <w:rsid w:val="39D30D0F"/>
    <w:rsid w:val="3A0B12CF"/>
    <w:rsid w:val="3C4F377D"/>
    <w:rsid w:val="425735EB"/>
    <w:rsid w:val="428F1D84"/>
    <w:rsid w:val="42D325A9"/>
    <w:rsid w:val="468A10C7"/>
    <w:rsid w:val="46A06893"/>
    <w:rsid w:val="46D92C4D"/>
    <w:rsid w:val="4DC50352"/>
    <w:rsid w:val="4F283295"/>
    <w:rsid w:val="4F366605"/>
    <w:rsid w:val="4F3B6DBF"/>
    <w:rsid w:val="4F926C20"/>
    <w:rsid w:val="4FAE217F"/>
    <w:rsid w:val="51961781"/>
    <w:rsid w:val="52027A94"/>
    <w:rsid w:val="524014F2"/>
    <w:rsid w:val="52BD69C9"/>
    <w:rsid w:val="54B971E6"/>
    <w:rsid w:val="54C5241A"/>
    <w:rsid w:val="55472D2E"/>
    <w:rsid w:val="56AE44E0"/>
    <w:rsid w:val="56F54882"/>
    <w:rsid w:val="57CC2554"/>
    <w:rsid w:val="57E47303"/>
    <w:rsid w:val="59C67E50"/>
    <w:rsid w:val="5B455868"/>
    <w:rsid w:val="5B563712"/>
    <w:rsid w:val="5BB72A5C"/>
    <w:rsid w:val="5C4C0E55"/>
    <w:rsid w:val="60477B00"/>
    <w:rsid w:val="62304879"/>
    <w:rsid w:val="63880974"/>
    <w:rsid w:val="64F46B2B"/>
    <w:rsid w:val="659E667E"/>
    <w:rsid w:val="65AC40A1"/>
    <w:rsid w:val="662C7920"/>
    <w:rsid w:val="69114EC6"/>
    <w:rsid w:val="6A8E1397"/>
    <w:rsid w:val="6AA93A87"/>
    <w:rsid w:val="6AFF04C6"/>
    <w:rsid w:val="6B0B30FD"/>
    <w:rsid w:val="6CB1056F"/>
    <w:rsid w:val="6CDC61C1"/>
    <w:rsid w:val="6D412435"/>
    <w:rsid w:val="6D5778C1"/>
    <w:rsid w:val="6DB964AB"/>
    <w:rsid w:val="70AB3C63"/>
    <w:rsid w:val="72BE0415"/>
    <w:rsid w:val="737210C5"/>
    <w:rsid w:val="75AA7E7E"/>
    <w:rsid w:val="75D2146E"/>
    <w:rsid w:val="77E259D3"/>
    <w:rsid w:val="7CBB5B1B"/>
    <w:rsid w:val="7E9027F5"/>
    <w:rsid w:val="7E9A5EB1"/>
  </w:rsids>
  <m:mathPr>
    <m:lMargin m:val="0"/>
    <m:mathFont m:val="Cambria Math"/>
    <m:rMargin m:val="0"/>
    <m:wrapIndent m:val="1440"/>
    <m:brkBin m:val="before"/>
    <m:brkBinSub m:val="--"/>
    <m:defJc m:val="centerGroup"/>
    <m:intLim m:val="subSup"/>
    <m:naryLim m:val="undOvr"/>
    <m:smallFrac m:val="0"/>
    <m:dispDef/>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Office_10.8.0.5715_F1E327BC-269C-435d-A152-05C5408002CA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2023-10-17T08:20:00Z</dcterms:created>
  <dc:creator>asus</dc:creator>
  <cp:lastModifiedBy>Administrator</cp:lastModifiedBy>
  <dcterms:modified xsi:type="dcterms:W3CDTF">2024-03-05T13:01:42Z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2052-10.8.0.5715</vt:lpwstr>
  </property>
</Properties>
</file>