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right="75"/>
        <w:jc w:val="center"/>
        <w:rPr>
          <w:color w:val="auto"/>
          <w:sz w:val="32"/>
          <w:szCs w:val="32"/>
        </w:rPr>
      </w:pPr>
      <w:r>
        <w:rPr>
          <w:rStyle w:val="5"/>
          <w:color w:val="auto"/>
          <w:sz w:val="32"/>
          <w:szCs w:val="32"/>
          <w:shd w:val="clear" w:fill="FFFFFF"/>
        </w:rPr>
        <w:t>重庆市大足</w:t>
      </w:r>
      <w:bookmarkStart w:id="0" w:name="OLE_LINK3"/>
      <w:r>
        <w:rPr>
          <w:rStyle w:val="5"/>
          <w:color w:val="auto"/>
          <w:sz w:val="32"/>
          <w:szCs w:val="32"/>
          <w:shd w:val="clear" w:fill="FFFFFF"/>
        </w:rPr>
        <w:t>区海棠新城开发区管理委员会（本级）</w:t>
      </w:r>
      <w:bookmarkEnd w:id="0"/>
    </w:p>
    <w:p>
      <w:pPr>
        <w:pStyle w:val="2"/>
        <w:keepNext w:val="0"/>
        <w:keepLines w:val="0"/>
        <w:widowControl/>
        <w:suppressLineNumbers w:val="0"/>
        <w:ind w:left="0" w:right="75"/>
        <w:jc w:val="center"/>
        <w:rPr>
          <w:color w:val="auto"/>
          <w:sz w:val="32"/>
          <w:szCs w:val="32"/>
        </w:rPr>
      </w:pPr>
      <w:r>
        <w:rPr>
          <w:rStyle w:val="5"/>
          <w:color w:val="auto"/>
          <w:sz w:val="32"/>
          <w:szCs w:val="32"/>
          <w:shd w:val="clear" w:fill="FFFFFF"/>
        </w:rPr>
        <w:t>2022年度部门决算情况说明</w:t>
      </w:r>
    </w:p>
    <w:p>
      <w:pPr>
        <w:pStyle w:val="2"/>
        <w:keepNext w:val="0"/>
        <w:keepLines w:val="0"/>
        <w:widowControl/>
        <w:suppressLineNumbers w:val="0"/>
        <w:ind w:left="0" w:right="75"/>
        <w:rPr>
          <w:color w:val="auto"/>
          <w:sz w:val="32"/>
          <w:szCs w:val="32"/>
        </w:rPr>
      </w:pPr>
      <w:r>
        <w:rPr>
          <w:rStyle w:val="5"/>
          <w:color w:val="auto"/>
          <w:sz w:val="32"/>
          <w:szCs w:val="32"/>
          <w:shd w:val="clear" w:fill="FFFFFF"/>
        </w:rPr>
        <w:t>一、部门基本情况</w:t>
      </w:r>
    </w:p>
    <w:p>
      <w:pPr>
        <w:pStyle w:val="2"/>
        <w:shd w:val="clear" w:color="auto" w:fill="FFFFFF"/>
        <w:spacing w:before="0" w:beforeAutospacing="0" w:after="0" w:afterAutospacing="0" w:line="720" w:lineRule="atLeast"/>
        <w:ind w:firstLine="270"/>
        <w:jc w:val="both"/>
        <w:rPr>
          <w:rFonts w:hint="eastAsia" w:ascii="Calibri" w:hAnsi="Calibri" w:eastAsia="微软雅黑"/>
          <w:color w:val="auto"/>
          <w:sz w:val="32"/>
          <w:szCs w:val="32"/>
        </w:rPr>
      </w:pPr>
      <w:r>
        <w:rPr>
          <w:rStyle w:val="5"/>
          <w:rFonts w:hint="eastAsia"/>
          <w:color w:val="auto"/>
          <w:sz w:val="32"/>
          <w:szCs w:val="32"/>
          <w:shd w:val="clear" w:color="auto" w:fill="FFFFFF"/>
        </w:rPr>
        <w:t>（一）职能职责。</w:t>
      </w:r>
      <w:bookmarkStart w:id="1" w:name="OLE_LINK5"/>
      <w:r>
        <w:rPr>
          <w:rFonts w:hint="eastAsia" w:ascii="方正仿宋_GBK" w:hAnsi="Calibri" w:eastAsia="方正仿宋_GBK"/>
          <w:color w:val="auto"/>
          <w:sz w:val="32"/>
          <w:szCs w:val="32"/>
          <w:shd w:val="clear" w:color="auto" w:fill="FFFFFF"/>
        </w:rPr>
        <w:t>海棠新城管委会的主要职能职责为：编制海棠新城开发区经济、社会发展规划，经区政府批准后负责组织实施；依据国家法律、法规和有关规定编制海棠新城开发区内项目的审批和申报；根据海棠新城开发区总体规划和土地利用规划，依法进行开发和管理；负责组织实施新城开发区内各项基础设施的建设和管理；负责新城开发区内企业的服务、管理及经济运行分析工作；负责海棠新城开发区招商引资工作；根据区委、区政府的授权，负责海棠新城开发区内相关工作的牵头管理和全面协调工作；承办区委、区政府交办的其他事项。</w:t>
      </w:r>
    </w:p>
    <w:bookmarkEnd w:id="1"/>
    <w:p>
      <w:pPr>
        <w:pStyle w:val="2"/>
        <w:shd w:val="clear" w:color="auto" w:fill="FFFFFF"/>
        <w:spacing w:before="0" w:beforeAutospacing="0" w:line="720" w:lineRule="atLeast"/>
        <w:ind w:firstLine="270"/>
        <w:jc w:val="both"/>
        <w:rPr>
          <w:rFonts w:ascii="微软雅黑" w:hAnsi="微软雅黑" w:eastAsia="微软雅黑"/>
          <w:color w:val="FF0000"/>
          <w:sz w:val="32"/>
          <w:szCs w:val="32"/>
        </w:rPr>
      </w:pPr>
      <w:r>
        <w:rPr>
          <w:rStyle w:val="5"/>
          <w:rFonts w:hint="eastAsia"/>
          <w:color w:val="FF0000"/>
          <w:sz w:val="32"/>
          <w:szCs w:val="32"/>
          <w:shd w:val="clear" w:color="auto" w:fill="FFFFFF"/>
        </w:rPr>
        <w:t>（二）机构设置。</w:t>
      </w:r>
      <w:bookmarkStart w:id="2" w:name="OLE_LINK6"/>
      <w:r>
        <w:rPr>
          <w:rFonts w:hint="eastAsia" w:ascii="方正仿宋_GBK" w:hAnsi="微软雅黑" w:eastAsia="方正仿宋_GBK"/>
          <w:color w:val="FF0000"/>
          <w:sz w:val="32"/>
          <w:szCs w:val="32"/>
          <w:shd w:val="clear" w:color="auto" w:fill="FFFFFF"/>
        </w:rPr>
        <w:t>重庆市大足区海棠新城管理委员会</w:t>
      </w:r>
      <w:bookmarkStart w:id="7" w:name="_GoBack"/>
      <w:bookmarkEnd w:id="7"/>
      <w:r>
        <w:rPr>
          <w:rFonts w:hint="eastAsia" w:ascii="方正仿宋_GBK" w:hAnsi="微软雅黑" w:eastAsia="方正仿宋_GBK"/>
          <w:color w:val="FF0000"/>
          <w:sz w:val="32"/>
          <w:szCs w:val="32"/>
          <w:shd w:val="clear" w:color="auto" w:fill="FFFFFF"/>
        </w:rPr>
        <w:t>为</w:t>
      </w:r>
      <w:r>
        <w:rPr>
          <w:rFonts w:hint="eastAsia" w:ascii="方正仿宋_GBK" w:hAnsi="微软雅黑" w:eastAsia="方正仿宋_GBK"/>
          <w:color w:val="FF0000"/>
          <w:sz w:val="32"/>
          <w:szCs w:val="32"/>
          <w:shd w:val="clear" w:color="auto" w:fill="FFFFFF"/>
          <w:lang w:val="en-US" w:eastAsia="zh-CN"/>
        </w:rPr>
        <w:t>区政府派出机构</w:t>
      </w:r>
      <w:r>
        <w:rPr>
          <w:rFonts w:hint="eastAsia" w:ascii="方正仿宋_GBK" w:hAnsi="微软雅黑" w:eastAsia="方正仿宋_GBK"/>
          <w:color w:val="FF0000"/>
          <w:sz w:val="32"/>
          <w:szCs w:val="32"/>
          <w:shd w:val="clear" w:color="auto" w:fill="FFFFFF"/>
        </w:rPr>
        <w:t>，</w:t>
      </w:r>
      <w:r>
        <w:rPr>
          <w:rFonts w:hint="eastAsia" w:ascii="方正仿宋_GBK" w:hAnsi="微软雅黑" w:eastAsia="方正仿宋_GBK"/>
          <w:color w:val="FF0000"/>
          <w:sz w:val="32"/>
          <w:szCs w:val="32"/>
          <w:shd w:val="clear" w:color="auto" w:fill="FFFFFF"/>
          <w:lang w:val="en-US" w:eastAsia="zh-CN"/>
        </w:rPr>
        <w:t>内设4个机构：综合科（党群工作科）、规划发展科、建设科（安全、环保科）、财务科。</w:t>
      </w:r>
      <w:bookmarkEnd w:id="2"/>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二、部门决算情况说明</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（一）收入支出决算总体情况说明</w:t>
      </w:r>
    </w:p>
    <w:p>
      <w:pPr>
        <w:pStyle w:val="2"/>
        <w:keepNext w:val="0"/>
        <w:keepLines w:val="0"/>
        <w:widowControl/>
        <w:suppressLineNumbers w:val="0"/>
        <w:ind w:left="0" w:right="75"/>
        <w:jc w:val="left"/>
        <w:rPr>
          <w:rFonts w:hint="eastAsia"/>
          <w:color w:val="auto"/>
          <w:sz w:val="32"/>
          <w:szCs w:val="32"/>
          <w:shd w:val="clear" w:fill="FFFFFF"/>
          <w:lang w:val="en-US" w:eastAsia="zh-CN"/>
        </w:rPr>
      </w:pPr>
      <w:r>
        <w:rPr>
          <w:rStyle w:val="5"/>
          <w:color w:val="auto"/>
          <w:sz w:val="32"/>
          <w:szCs w:val="32"/>
          <w:shd w:val="clear" w:fill="FFFFFF"/>
        </w:rPr>
        <w:t>1.总体情况。</w:t>
      </w:r>
      <w:r>
        <w:rPr>
          <w:color w:val="auto"/>
          <w:sz w:val="32"/>
          <w:szCs w:val="32"/>
          <w:shd w:val="clear" w:fill="FFFFFF"/>
        </w:rPr>
        <w:t>2022年度收入总计135,905.26万元，支出总计135,905.26万元。收支较上年决算数增加130,388.11万元,增长2363.3%，主要原因是</w:t>
      </w:r>
      <w:r>
        <w:rPr>
          <w:rFonts w:hint="eastAsia"/>
          <w:color w:val="auto"/>
          <w:sz w:val="32"/>
          <w:szCs w:val="32"/>
          <w:shd w:val="clear" w:fill="FFFFFF"/>
          <w:lang w:eastAsia="zh-CN"/>
        </w:rPr>
        <w:t>项目经费增加，本年新增 海棠新城职业教育城①②③等项目</w:t>
      </w:r>
      <w:r>
        <w:rPr>
          <w:rFonts w:hint="eastAsia"/>
          <w:color w:val="auto"/>
          <w:sz w:val="32"/>
          <w:szCs w:val="32"/>
          <w:shd w:val="clear" w:fill="FFFFFF"/>
          <w:lang w:val="en-US" w:eastAsia="zh-CN"/>
        </w:rPr>
        <w:t>60227万元</w:t>
      </w:r>
      <w:r>
        <w:rPr>
          <w:rFonts w:hint="eastAsia"/>
          <w:color w:val="auto"/>
          <w:sz w:val="32"/>
          <w:szCs w:val="32"/>
          <w:shd w:val="clear" w:fill="FFFFFF"/>
          <w:lang w:eastAsia="zh-CN"/>
        </w:rPr>
        <w:t>， 化债资金（调）</w:t>
      </w:r>
      <w:r>
        <w:rPr>
          <w:rFonts w:hint="eastAsia"/>
          <w:color w:val="auto"/>
          <w:sz w:val="32"/>
          <w:szCs w:val="32"/>
          <w:shd w:val="clear" w:fill="FFFFFF"/>
          <w:lang w:val="en-US" w:eastAsia="zh-CN"/>
        </w:rPr>
        <w:t>50000万元，天宫河片区开发项目20000万元。</w:t>
      </w:r>
    </w:p>
    <w:p>
      <w:pPr>
        <w:pStyle w:val="2"/>
        <w:keepNext w:val="0"/>
        <w:keepLines w:val="0"/>
        <w:widowControl/>
        <w:suppressLineNumbers w:val="0"/>
        <w:ind w:left="0" w:right="75"/>
        <w:jc w:val="left"/>
        <w:rPr>
          <w:rFonts w:hint="eastAsia" w:eastAsiaTheme="minorEastAsia"/>
          <w:color w:val="auto"/>
          <w:sz w:val="32"/>
          <w:szCs w:val="32"/>
          <w:lang w:eastAsia="zh-CN"/>
        </w:rPr>
      </w:pPr>
      <w:r>
        <w:rPr>
          <w:rStyle w:val="5"/>
          <w:color w:val="auto"/>
          <w:sz w:val="32"/>
          <w:szCs w:val="32"/>
          <w:shd w:val="clear" w:fill="FFFFFF"/>
        </w:rPr>
        <w:t>2.收入情况。</w:t>
      </w:r>
      <w:r>
        <w:rPr>
          <w:color w:val="auto"/>
          <w:sz w:val="32"/>
          <w:szCs w:val="32"/>
          <w:shd w:val="clear" w:fill="FFFFFF"/>
        </w:rPr>
        <w:t>2022年度收入合计135,905.26万元，较上年决算数增加130,388.11万元，增长2363.3%，主要原因是</w:t>
      </w:r>
      <w:bookmarkStart w:id="3" w:name="OLE_LINK7"/>
      <w:r>
        <w:rPr>
          <w:rFonts w:hint="eastAsia"/>
          <w:color w:val="auto"/>
          <w:sz w:val="32"/>
          <w:szCs w:val="32"/>
          <w:shd w:val="clear" w:fill="FFFFFF"/>
          <w:lang w:eastAsia="zh-CN"/>
        </w:rPr>
        <w:t>项目经费增加，本年新增 海棠新城职业教育城①②③等项目</w:t>
      </w:r>
      <w:r>
        <w:rPr>
          <w:rFonts w:hint="eastAsia"/>
          <w:color w:val="auto"/>
          <w:sz w:val="32"/>
          <w:szCs w:val="32"/>
          <w:shd w:val="clear" w:fill="FFFFFF"/>
          <w:lang w:val="en-US" w:eastAsia="zh-CN"/>
        </w:rPr>
        <w:t>60227万元</w:t>
      </w:r>
      <w:r>
        <w:rPr>
          <w:rFonts w:hint="eastAsia"/>
          <w:color w:val="auto"/>
          <w:sz w:val="32"/>
          <w:szCs w:val="32"/>
          <w:shd w:val="clear" w:fill="FFFFFF"/>
          <w:lang w:eastAsia="zh-CN"/>
        </w:rPr>
        <w:t>， 化债资金（调）</w:t>
      </w:r>
      <w:r>
        <w:rPr>
          <w:rFonts w:hint="eastAsia"/>
          <w:color w:val="auto"/>
          <w:sz w:val="32"/>
          <w:szCs w:val="32"/>
          <w:shd w:val="clear" w:fill="FFFFFF"/>
          <w:lang w:val="en-US" w:eastAsia="zh-CN"/>
        </w:rPr>
        <w:t>50000万元，天宫河片区开发项目20000万元。</w:t>
      </w:r>
      <w:bookmarkEnd w:id="3"/>
      <w:r>
        <w:rPr>
          <w:color w:val="auto"/>
          <w:sz w:val="32"/>
          <w:szCs w:val="32"/>
          <w:shd w:val="clear" w:fill="FFFFFF"/>
        </w:rPr>
        <w:t>其中：财政拨款收入135,905.26万元，占100%</w:t>
      </w:r>
      <w:r>
        <w:rPr>
          <w:rFonts w:hint="eastAsia"/>
          <w:color w:val="auto"/>
          <w:sz w:val="32"/>
          <w:szCs w:val="32"/>
          <w:shd w:val="clear" w:fill="FFFFFF"/>
          <w:lang w:eastAsia="zh-CN"/>
        </w:rPr>
        <w:t>。</w:t>
      </w:r>
    </w:p>
    <w:p>
      <w:pPr>
        <w:pStyle w:val="2"/>
        <w:keepNext w:val="0"/>
        <w:keepLines w:val="0"/>
        <w:widowControl/>
        <w:suppressLineNumbers w:val="0"/>
        <w:ind w:left="0" w:right="75"/>
        <w:jc w:val="left"/>
        <w:rPr>
          <w:rFonts w:hint="eastAsia" w:eastAsiaTheme="minorEastAsia"/>
          <w:color w:val="auto"/>
          <w:sz w:val="32"/>
          <w:szCs w:val="32"/>
          <w:shd w:val="clear" w:fill="FFFFFF"/>
          <w:lang w:eastAsia="zh-CN"/>
        </w:rPr>
      </w:pPr>
      <w:r>
        <w:rPr>
          <w:rStyle w:val="5"/>
          <w:color w:val="auto"/>
          <w:sz w:val="32"/>
          <w:szCs w:val="32"/>
          <w:shd w:val="clear" w:fill="FFFFFF"/>
        </w:rPr>
        <w:t>3.支出情况。</w:t>
      </w:r>
      <w:r>
        <w:rPr>
          <w:color w:val="auto"/>
          <w:sz w:val="32"/>
          <w:szCs w:val="32"/>
          <w:shd w:val="clear" w:fill="FFFFFF"/>
        </w:rPr>
        <w:t>2022年度支出合计135,905.26万元，较上年决算增加130,388.11万元，增长2363.3%，主要原因是</w:t>
      </w:r>
      <w:r>
        <w:rPr>
          <w:rFonts w:hint="eastAsia"/>
          <w:color w:val="auto"/>
          <w:sz w:val="32"/>
          <w:szCs w:val="32"/>
          <w:shd w:val="clear" w:fill="FFFFFF"/>
          <w:lang w:eastAsia="zh-CN"/>
        </w:rPr>
        <w:t>项目经费增加，本年新增 海棠新城职业教育城①②③等项目</w:t>
      </w:r>
      <w:r>
        <w:rPr>
          <w:rFonts w:hint="eastAsia"/>
          <w:color w:val="auto"/>
          <w:sz w:val="32"/>
          <w:szCs w:val="32"/>
          <w:shd w:val="clear" w:fill="FFFFFF"/>
          <w:lang w:val="en-US" w:eastAsia="zh-CN"/>
        </w:rPr>
        <w:t>60227万元</w:t>
      </w:r>
      <w:r>
        <w:rPr>
          <w:rFonts w:hint="eastAsia"/>
          <w:color w:val="auto"/>
          <w:sz w:val="32"/>
          <w:szCs w:val="32"/>
          <w:shd w:val="clear" w:fill="FFFFFF"/>
          <w:lang w:eastAsia="zh-CN"/>
        </w:rPr>
        <w:t>， 化债资金（调）</w:t>
      </w:r>
      <w:r>
        <w:rPr>
          <w:rFonts w:hint="eastAsia"/>
          <w:color w:val="auto"/>
          <w:sz w:val="32"/>
          <w:szCs w:val="32"/>
          <w:shd w:val="clear" w:fill="FFFFFF"/>
          <w:lang w:val="en-US" w:eastAsia="zh-CN"/>
        </w:rPr>
        <w:t>50000万元，天宫河片区开发项目20000万元。</w:t>
      </w:r>
      <w:r>
        <w:rPr>
          <w:color w:val="auto"/>
          <w:sz w:val="32"/>
          <w:szCs w:val="32"/>
          <w:shd w:val="clear" w:fill="FFFFFF"/>
        </w:rPr>
        <w:t>其中：基本支出178.23万元，占0.1%；项目支出135,727.03万元，占99.9%</w:t>
      </w:r>
      <w:r>
        <w:rPr>
          <w:rFonts w:hint="eastAsia"/>
          <w:color w:val="auto"/>
          <w:sz w:val="32"/>
          <w:szCs w:val="32"/>
          <w:shd w:val="clear" w:fill="FFFFFF"/>
          <w:lang w:eastAsia="zh-CN"/>
        </w:rPr>
        <w:t>。</w:t>
      </w:r>
    </w:p>
    <w:p>
      <w:pPr>
        <w:pStyle w:val="2"/>
        <w:keepNext w:val="0"/>
        <w:keepLines w:val="0"/>
        <w:widowControl/>
        <w:suppressLineNumbers w:val="0"/>
        <w:ind w:left="0" w:right="75"/>
        <w:jc w:val="left"/>
        <w:rPr>
          <w:rFonts w:hint="eastAsia"/>
          <w:color w:val="auto"/>
          <w:sz w:val="32"/>
          <w:szCs w:val="32"/>
          <w:shd w:val="clear" w:fill="FFFFFF"/>
          <w:lang w:eastAsia="zh-CN"/>
        </w:rPr>
      </w:pPr>
      <w:r>
        <w:rPr>
          <w:rStyle w:val="5"/>
          <w:color w:val="auto"/>
          <w:sz w:val="32"/>
          <w:szCs w:val="32"/>
          <w:shd w:val="clear" w:fill="FFFFFF"/>
        </w:rPr>
        <w:t>4.结转结余情况。</w:t>
      </w:r>
      <w:r>
        <w:rPr>
          <w:color w:val="auto"/>
          <w:sz w:val="32"/>
          <w:szCs w:val="32"/>
          <w:shd w:val="clear" w:fill="FFFFFF"/>
        </w:rPr>
        <w:t>2022年度年末结转和结余0.00万元，较上年决算数增加0.00万元，增长</w:t>
      </w:r>
      <w:r>
        <w:rPr>
          <w:rFonts w:hint="eastAsia"/>
          <w:color w:val="auto"/>
          <w:sz w:val="32"/>
          <w:szCs w:val="32"/>
          <w:shd w:val="clear" w:fill="FFFFFF"/>
          <w:lang w:val="en-US" w:eastAsia="zh-CN"/>
        </w:rPr>
        <w:t>0</w:t>
      </w:r>
      <w:r>
        <w:rPr>
          <w:color w:val="auto"/>
          <w:sz w:val="32"/>
          <w:szCs w:val="32"/>
          <w:shd w:val="clear" w:fill="FFFFFF"/>
        </w:rPr>
        <w:t>%</w:t>
      </w:r>
      <w:r>
        <w:rPr>
          <w:rFonts w:hint="eastAsia"/>
          <w:color w:val="auto"/>
          <w:sz w:val="32"/>
          <w:szCs w:val="32"/>
          <w:shd w:val="clear" w:fill="FFFFFF"/>
          <w:lang w:eastAsia="zh-CN"/>
        </w:rPr>
        <w:t>。</w:t>
      </w:r>
      <w:bookmarkStart w:id="4" w:name="OLE_LINK1"/>
      <w:r>
        <w:rPr>
          <w:rFonts w:hint="eastAsia"/>
          <w:color w:val="auto"/>
          <w:sz w:val="32"/>
          <w:szCs w:val="32"/>
          <w:shd w:val="clear" w:fill="FFFFFF"/>
          <w:lang w:val="en-US" w:eastAsia="zh-CN"/>
        </w:rPr>
        <w:t>主要原因是本单位无结转结余。</w:t>
      </w:r>
    </w:p>
    <w:bookmarkEnd w:id="4"/>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（二）财政拨款收入支出决算总体情况说明</w:t>
      </w:r>
    </w:p>
    <w:p>
      <w:pPr>
        <w:pStyle w:val="2"/>
        <w:keepNext w:val="0"/>
        <w:keepLines w:val="0"/>
        <w:widowControl/>
        <w:suppressLineNumbers w:val="0"/>
        <w:ind w:left="0" w:right="75"/>
        <w:jc w:val="left"/>
        <w:rPr>
          <w:color w:val="auto"/>
          <w:sz w:val="32"/>
          <w:szCs w:val="32"/>
        </w:rPr>
      </w:pPr>
      <w:r>
        <w:rPr>
          <w:color w:val="auto"/>
          <w:sz w:val="32"/>
          <w:szCs w:val="32"/>
          <w:shd w:val="clear" w:fill="FFFFFF"/>
        </w:rPr>
        <w:t>2022年度财政拨款收、支总计135,905.26万元。与2021年相比，财政拨款收、支总计各增加130,388.11万元，增长2363.3%。主要原因是</w:t>
      </w:r>
      <w:r>
        <w:rPr>
          <w:rFonts w:hint="eastAsia"/>
          <w:color w:val="auto"/>
          <w:sz w:val="32"/>
          <w:szCs w:val="32"/>
          <w:shd w:val="clear" w:fill="FFFFFF"/>
          <w:lang w:eastAsia="zh-CN"/>
        </w:rPr>
        <w:t>项目经费增加，本年新增 海棠新城职业教育城①②③等项目</w:t>
      </w:r>
      <w:r>
        <w:rPr>
          <w:rFonts w:hint="eastAsia"/>
          <w:color w:val="auto"/>
          <w:sz w:val="32"/>
          <w:szCs w:val="32"/>
          <w:shd w:val="clear" w:fill="FFFFFF"/>
          <w:lang w:val="en-US" w:eastAsia="zh-CN"/>
        </w:rPr>
        <w:t>60227万元</w:t>
      </w:r>
      <w:r>
        <w:rPr>
          <w:rFonts w:hint="eastAsia"/>
          <w:color w:val="auto"/>
          <w:sz w:val="32"/>
          <w:szCs w:val="32"/>
          <w:shd w:val="clear" w:fill="FFFFFF"/>
          <w:lang w:eastAsia="zh-CN"/>
        </w:rPr>
        <w:t>， 化债资金（调）</w:t>
      </w:r>
      <w:r>
        <w:rPr>
          <w:rFonts w:hint="eastAsia"/>
          <w:color w:val="auto"/>
          <w:sz w:val="32"/>
          <w:szCs w:val="32"/>
          <w:shd w:val="clear" w:fill="FFFFFF"/>
          <w:lang w:val="en-US" w:eastAsia="zh-CN"/>
        </w:rPr>
        <w:t>50000万元，天宫河片区开发项目20000万元。</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（三）一般公共预算财政拨款收入支出决算情况说明</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1.收入情况。</w:t>
      </w:r>
      <w:r>
        <w:rPr>
          <w:color w:val="auto"/>
          <w:sz w:val="32"/>
          <w:szCs w:val="32"/>
          <w:shd w:val="clear" w:fill="FFFFFF"/>
        </w:rPr>
        <w:t>2022年度一般公共预算财政拨款收入60,405.26万元，较上年决算数增加56,888.11万元，增长1617.4%。主要原因是</w:t>
      </w:r>
      <w:r>
        <w:rPr>
          <w:rFonts w:hint="eastAsia"/>
          <w:color w:val="auto"/>
          <w:sz w:val="32"/>
          <w:szCs w:val="32"/>
          <w:shd w:val="clear" w:fill="FFFFFF"/>
          <w:lang w:eastAsia="zh-CN"/>
        </w:rPr>
        <w:t>本年新增 海棠新城职业教育城①②③等项目。</w:t>
      </w:r>
      <w:r>
        <w:rPr>
          <w:color w:val="auto"/>
          <w:sz w:val="32"/>
          <w:szCs w:val="32"/>
          <w:shd w:val="clear" w:fill="FFFFFF"/>
        </w:rPr>
        <w:t>较年初预算数增加60,277.30万元，增长47106.4%。主要原因是</w:t>
      </w:r>
      <w:r>
        <w:rPr>
          <w:rFonts w:hint="eastAsia"/>
          <w:color w:val="auto"/>
          <w:sz w:val="32"/>
          <w:szCs w:val="32"/>
          <w:shd w:val="clear" w:fill="FFFFFF"/>
          <w:lang w:eastAsia="zh-CN"/>
        </w:rPr>
        <w:t>本年新增 海棠新城职业教育城①②③等项目。</w:t>
      </w:r>
      <w:r>
        <w:rPr>
          <w:color w:val="auto"/>
          <w:sz w:val="32"/>
          <w:szCs w:val="32"/>
          <w:shd w:val="clear" w:fill="FFFFFF"/>
        </w:rPr>
        <w:t>此外，年初财政拨款结转和结余0.00万元。</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2.支出情况。</w:t>
      </w:r>
      <w:r>
        <w:rPr>
          <w:color w:val="auto"/>
          <w:sz w:val="32"/>
          <w:szCs w:val="32"/>
          <w:shd w:val="clear" w:fill="FFFFFF"/>
        </w:rPr>
        <w:t>2022年度一般公共预算财政拨款支出60,405.26万元，较上年决算数增加56,888.11万元，增长1617.4%。主要原因是</w:t>
      </w:r>
      <w:r>
        <w:rPr>
          <w:rFonts w:hint="eastAsia"/>
          <w:color w:val="auto"/>
          <w:sz w:val="32"/>
          <w:szCs w:val="32"/>
          <w:shd w:val="clear" w:fill="FFFFFF"/>
          <w:lang w:eastAsia="zh-CN"/>
        </w:rPr>
        <w:t>本年新增 海棠新城职业教育城①②③等项目</w:t>
      </w:r>
      <w:r>
        <w:rPr>
          <w:color w:val="auto"/>
          <w:sz w:val="32"/>
          <w:szCs w:val="32"/>
          <w:shd w:val="clear" w:fill="FFFFFF"/>
        </w:rPr>
        <w:t>较年初预算数增加60,277.30万元，增长47106.4%。主要原因是</w:t>
      </w:r>
      <w:r>
        <w:rPr>
          <w:rFonts w:hint="eastAsia"/>
          <w:color w:val="auto"/>
          <w:sz w:val="32"/>
          <w:szCs w:val="32"/>
          <w:shd w:val="clear" w:fill="FFFFFF"/>
          <w:lang w:eastAsia="zh-CN"/>
        </w:rPr>
        <w:t>本年新增 海棠新城职业教育城①②③等项目</w:t>
      </w:r>
      <w:r>
        <w:rPr>
          <w:color w:val="auto"/>
          <w:sz w:val="32"/>
          <w:szCs w:val="32"/>
          <w:shd w:val="clear" w:fill="FFFFFF"/>
        </w:rPr>
        <w:t>。</w:t>
      </w:r>
    </w:p>
    <w:p>
      <w:pPr>
        <w:pStyle w:val="2"/>
        <w:keepNext w:val="0"/>
        <w:keepLines w:val="0"/>
        <w:widowControl/>
        <w:suppressLineNumbers w:val="0"/>
        <w:ind w:left="0" w:right="75"/>
        <w:jc w:val="left"/>
        <w:rPr>
          <w:rFonts w:hint="eastAsia" w:eastAsiaTheme="minorEastAsia"/>
          <w:color w:val="auto"/>
          <w:sz w:val="32"/>
          <w:szCs w:val="32"/>
          <w:lang w:eastAsia="zh-CN"/>
        </w:rPr>
      </w:pPr>
      <w:r>
        <w:rPr>
          <w:rStyle w:val="5"/>
          <w:color w:val="auto"/>
          <w:sz w:val="32"/>
          <w:szCs w:val="32"/>
          <w:shd w:val="clear" w:fill="FFFFFF"/>
        </w:rPr>
        <w:t>3.结转结余情况。</w:t>
      </w:r>
      <w:r>
        <w:rPr>
          <w:color w:val="auto"/>
          <w:sz w:val="32"/>
          <w:szCs w:val="32"/>
          <w:shd w:val="clear" w:fill="FFFFFF"/>
        </w:rPr>
        <w:t>2022年度年末一般公共预算财政拨款结转和结余0.00万元，较上年决算数增加0.00万元，增长</w:t>
      </w:r>
      <w:r>
        <w:rPr>
          <w:rFonts w:hint="eastAsia"/>
          <w:color w:val="auto"/>
          <w:sz w:val="32"/>
          <w:szCs w:val="32"/>
          <w:shd w:val="clear" w:fill="FFFFFF"/>
          <w:lang w:val="en-US" w:eastAsia="zh-CN"/>
        </w:rPr>
        <w:t>0</w:t>
      </w:r>
      <w:r>
        <w:rPr>
          <w:color w:val="auto"/>
          <w:sz w:val="32"/>
          <w:szCs w:val="32"/>
          <w:shd w:val="clear" w:fill="FFFFFF"/>
        </w:rPr>
        <w:t>%</w:t>
      </w:r>
      <w:r>
        <w:rPr>
          <w:rFonts w:hint="eastAsia"/>
          <w:color w:val="auto"/>
          <w:sz w:val="32"/>
          <w:szCs w:val="32"/>
          <w:shd w:val="clear" w:fill="FFFFFF"/>
          <w:lang w:eastAsia="zh-CN"/>
        </w:rPr>
        <w:t>。</w:t>
      </w:r>
      <w:r>
        <w:rPr>
          <w:rFonts w:hint="eastAsia"/>
          <w:color w:val="auto"/>
          <w:sz w:val="32"/>
          <w:szCs w:val="32"/>
          <w:shd w:val="clear" w:fill="FFFFFF"/>
          <w:lang w:val="en-US" w:eastAsia="zh-CN"/>
        </w:rPr>
        <w:t>主要原因是本单位无结转结余。</w:t>
      </w:r>
    </w:p>
    <w:p>
      <w:pPr>
        <w:pStyle w:val="2"/>
        <w:keepNext w:val="0"/>
        <w:keepLines w:val="0"/>
        <w:widowControl/>
        <w:suppressLineNumbers w:val="0"/>
        <w:ind w:left="0" w:right="75"/>
        <w:jc w:val="left"/>
        <w:rPr>
          <w:color w:val="auto"/>
          <w:sz w:val="32"/>
          <w:szCs w:val="32"/>
          <w:shd w:val="clear" w:fill="FFFFFF"/>
        </w:rPr>
      </w:pPr>
      <w:r>
        <w:rPr>
          <w:rStyle w:val="5"/>
          <w:color w:val="auto"/>
          <w:sz w:val="32"/>
          <w:szCs w:val="32"/>
          <w:shd w:val="clear" w:fill="FFFFFF"/>
        </w:rPr>
        <w:t>4.比较情况。</w:t>
      </w:r>
      <w:r>
        <w:rPr>
          <w:color w:val="auto"/>
          <w:sz w:val="32"/>
          <w:szCs w:val="32"/>
          <w:shd w:val="clear" w:fill="FFFFFF"/>
        </w:rPr>
        <w:t>本部门2022年度一般公共预算财政拨款支出主要用于以下几个方面：</w:t>
      </w:r>
    </w:p>
    <w:p>
      <w:pPr>
        <w:pStyle w:val="2"/>
        <w:keepNext w:val="0"/>
        <w:keepLines w:val="0"/>
        <w:widowControl/>
        <w:suppressLineNumbers w:val="0"/>
        <w:ind w:left="0" w:right="75"/>
        <w:jc w:val="left"/>
        <w:rPr>
          <w:rFonts w:hint="eastAsia"/>
          <w:color w:val="auto"/>
          <w:sz w:val="32"/>
          <w:szCs w:val="32"/>
          <w:shd w:val="clear" w:fill="FFFFFF"/>
          <w:lang w:eastAsia="zh-CN"/>
        </w:rPr>
      </w:pPr>
      <w:r>
        <w:rPr>
          <w:color w:val="auto"/>
          <w:sz w:val="32"/>
          <w:szCs w:val="32"/>
          <w:shd w:val="clear" w:fill="FFFFFF"/>
        </w:rPr>
        <w:t>（1）一般公共服务支出145.87万元，占0.2%，较年初预算数增加40.65万元，增长38.6%，主要原因是</w:t>
      </w:r>
      <w:r>
        <w:rPr>
          <w:rFonts w:hint="eastAsia"/>
          <w:color w:val="auto"/>
          <w:sz w:val="32"/>
          <w:szCs w:val="32"/>
          <w:shd w:val="clear" w:fill="FFFFFF"/>
          <w:lang w:eastAsia="zh-CN"/>
        </w:rPr>
        <w:t>人员变动。</w:t>
      </w:r>
    </w:p>
    <w:p>
      <w:pPr>
        <w:pStyle w:val="2"/>
        <w:keepNext w:val="0"/>
        <w:keepLines w:val="0"/>
        <w:widowControl/>
        <w:suppressLineNumbers w:val="0"/>
        <w:ind w:left="0" w:right="75"/>
        <w:jc w:val="left"/>
        <w:rPr>
          <w:color w:val="auto"/>
          <w:sz w:val="32"/>
          <w:szCs w:val="32"/>
          <w:shd w:val="clear" w:fill="FFFFFF"/>
        </w:rPr>
      </w:pPr>
      <w:r>
        <w:rPr>
          <w:color w:val="auto"/>
          <w:sz w:val="32"/>
          <w:szCs w:val="32"/>
          <w:shd w:val="clear" w:fill="FFFFFF"/>
        </w:rPr>
        <w:t>（</w:t>
      </w:r>
      <w:r>
        <w:rPr>
          <w:rFonts w:hint="eastAsia"/>
          <w:color w:val="auto"/>
          <w:sz w:val="32"/>
          <w:szCs w:val="32"/>
          <w:shd w:val="clear" w:fill="FFFFFF"/>
          <w:lang w:val="en-US" w:eastAsia="zh-CN"/>
        </w:rPr>
        <w:t>2</w:t>
      </w:r>
      <w:r>
        <w:rPr>
          <w:color w:val="auto"/>
          <w:sz w:val="32"/>
          <w:szCs w:val="32"/>
          <w:shd w:val="clear" w:fill="FFFFFF"/>
        </w:rPr>
        <w:t>）科学技术支出5,600.00万元，占9.3%，较年初预算数增加5,600.00万元，增长</w:t>
      </w:r>
      <w:r>
        <w:rPr>
          <w:rFonts w:hint="eastAsia"/>
          <w:color w:val="auto"/>
          <w:sz w:val="32"/>
          <w:szCs w:val="32"/>
          <w:shd w:val="clear" w:fill="FFFFFF"/>
          <w:lang w:val="en-US" w:eastAsia="zh-CN"/>
        </w:rPr>
        <w:t>100</w:t>
      </w:r>
      <w:r>
        <w:rPr>
          <w:color w:val="auto"/>
          <w:sz w:val="32"/>
          <w:szCs w:val="32"/>
          <w:shd w:val="clear" w:fill="FFFFFF"/>
        </w:rPr>
        <w:t>%，主要原因是</w:t>
      </w:r>
      <w:r>
        <w:rPr>
          <w:rFonts w:hint="eastAsia"/>
          <w:color w:val="auto"/>
          <w:sz w:val="32"/>
          <w:szCs w:val="32"/>
          <w:shd w:val="clear" w:fill="FFFFFF"/>
          <w:lang w:eastAsia="zh-CN"/>
        </w:rPr>
        <w:t>本年新增 海棠新城职业教育城①②③等项目</w:t>
      </w:r>
      <w:r>
        <w:rPr>
          <w:color w:val="auto"/>
          <w:sz w:val="32"/>
          <w:szCs w:val="32"/>
          <w:shd w:val="clear" w:fill="FFFFFF"/>
        </w:rPr>
        <w:t>。</w:t>
      </w:r>
    </w:p>
    <w:p>
      <w:pPr>
        <w:pStyle w:val="2"/>
        <w:keepNext w:val="0"/>
        <w:keepLines w:val="0"/>
        <w:widowControl/>
        <w:suppressLineNumbers w:val="0"/>
        <w:ind w:left="0" w:right="75"/>
        <w:jc w:val="left"/>
        <w:rPr>
          <w:rFonts w:hint="eastAsia"/>
          <w:color w:val="auto"/>
          <w:sz w:val="32"/>
          <w:szCs w:val="32"/>
          <w:shd w:val="clear" w:fill="FFFFFF"/>
          <w:lang w:eastAsia="zh-CN"/>
        </w:rPr>
      </w:pPr>
      <w:r>
        <w:rPr>
          <w:color w:val="auto"/>
          <w:sz w:val="32"/>
          <w:szCs w:val="32"/>
          <w:shd w:val="clear" w:fill="FFFFFF"/>
        </w:rPr>
        <w:t>（</w:t>
      </w:r>
      <w:r>
        <w:rPr>
          <w:rFonts w:hint="eastAsia"/>
          <w:color w:val="auto"/>
          <w:sz w:val="32"/>
          <w:szCs w:val="32"/>
          <w:shd w:val="clear" w:fill="FFFFFF"/>
          <w:lang w:val="en-US" w:eastAsia="zh-CN"/>
        </w:rPr>
        <w:t>3</w:t>
      </w:r>
      <w:r>
        <w:rPr>
          <w:color w:val="auto"/>
          <w:sz w:val="32"/>
          <w:szCs w:val="32"/>
          <w:shd w:val="clear" w:fill="FFFFFF"/>
        </w:rPr>
        <w:t>）社会保障与就业支出19.</w:t>
      </w:r>
      <w:r>
        <w:rPr>
          <w:rFonts w:hint="eastAsia"/>
          <w:color w:val="auto"/>
          <w:sz w:val="32"/>
          <w:szCs w:val="32"/>
          <w:shd w:val="clear" w:fill="FFFFFF"/>
          <w:lang w:val="en-US" w:eastAsia="zh-CN"/>
        </w:rPr>
        <w:t>50</w:t>
      </w:r>
      <w:r>
        <w:rPr>
          <w:color w:val="auto"/>
          <w:sz w:val="32"/>
          <w:szCs w:val="32"/>
          <w:shd w:val="clear" w:fill="FFFFFF"/>
        </w:rPr>
        <w:t>万元，占</w:t>
      </w:r>
      <w:r>
        <w:rPr>
          <w:rFonts w:hint="eastAsia"/>
          <w:color w:val="auto"/>
          <w:sz w:val="32"/>
          <w:szCs w:val="32"/>
          <w:shd w:val="clear" w:fill="FFFFFF"/>
          <w:lang w:val="en-US" w:eastAsia="zh-CN"/>
        </w:rPr>
        <w:t>0.01</w:t>
      </w:r>
      <w:r>
        <w:rPr>
          <w:color w:val="auto"/>
          <w:sz w:val="32"/>
          <w:szCs w:val="32"/>
          <w:shd w:val="clear" w:fill="FFFFFF"/>
        </w:rPr>
        <w:t>%，较年初预算数增加7.98万元，增长69.3%，主要原因是</w:t>
      </w:r>
      <w:r>
        <w:rPr>
          <w:rFonts w:hint="eastAsia"/>
          <w:color w:val="auto"/>
          <w:sz w:val="32"/>
          <w:szCs w:val="32"/>
          <w:shd w:val="clear" w:fill="FFFFFF"/>
        </w:rPr>
        <w:t>社会保障与就业</w:t>
      </w:r>
      <w:r>
        <w:rPr>
          <w:rFonts w:hint="eastAsia"/>
          <w:color w:val="auto"/>
          <w:sz w:val="32"/>
          <w:szCs w:val="32"/>
          <w:shd w:val="clear" w:fill="FFFFFF"/>
          <w:lang w:eastAsia="zh-CN"/>
        </w:rPr>
        <w:t>基数调整。</w:t>
      </w:r>
    </w:p>
    <w:p>
      <w:pPr>
        <w:pStyle w:val="2"/>
        <w:keepNext w:val="0"/>
        <w:keepLines w:val="0"/>
        <w:widowControl/>
        <w:suppressLineNumbers w:val="0"/>
        <w:ind w:left="0" w:right="75"/>
        <w:jc w:val="left"/>
        <w:rPr>
          <w:rFonts w:hint="eastAsia"/>
          <w:color w:val="auto"/>
          <w:sz w:val="32"/>
          <w:szCs w:val="32"/>
          <w:shd w:val="clear" w:fill="FFFFFF"/>
          <w:lang w:eastAsia="zh-CN"/>
        </w:rPr>
      </w:pPr>
      <w:r>
        <w:rPr>
          <w:color w:val="auto"/>
          <w:sz w:val="32"/>
          <w:szCs w:val="32"/>
          <w:shd w:val="clear" w:fill="FFFFFF"/>
        </w:rPr>
        <w:t>（</w:t>
      </w:r>
      <w:r>
        <w:rPr>
          <w:rFonts w:hint="eastAsia"/>
          <w:color w:val="auto"/>
          <w:sz w:val="32"/>
          <w:szCs w:val="32"/>
          <w:shd w:val="clear" w:fill="FFFFFF"/>
          <w:lang w:val="en-US" w:eastAsia="zh-CN"/>
        </w:rPr>
        <w:t>4</w:t>
      </w:r>
      <w:r>
        <w:rPr>
          <w:color w:val="auto"/>
          <w:sz w:val="32"/>
          <w:szCs w:val="32"/>
          <w:shd w:val="clear" w:fill="FFFFFF"/>
        </w:rPr>
        <w:t>）卫生健康支出7.18万元，占0</w:t>
      </w:r>
      <w:r>
        <w:rPr>
          <w:rFonts w:hint="eastAsia"/>
          <w:color w:val="auto"/>
          <w:sz w:val="32"/>
          <w:szCs w:val="32"/>
          <w:shd w:val="clear" w:fill="FFFFFF"/>
          <w:lang w:val="en-US" w:eastAsia="zh-CN"/>
        </w:rPr>
        <w:t>.005</w:t>
      </w:r>
      <w:r>
        <w:rPr>
          <w:color w:val="auto"/>
          <w:sz w:val="32"/>
          <w:szCs w:val="32"/>
          <w:shd w:val="clear" w:fill="FFFFFF"/>
        </w:rPr>
        <w:t>%，较年初预算数增加1.64万元，增长29.6%，主要原因是</w:t>
      </w:r>
      <w:r>
        <w:rPr>
          <w:rFonts w:hint="eastAsia"/>
          <w:color w:val="auto"/>
          <w:sz w:val="32"/>
          <w:szCs w:val="32"/>
          <w:shd w:val="clear" w:fill="FFFFFF"/>
          <w:lang w:eastAsia="zh-CN"/>
        </w:rPr>
        <w:t>人员变动及医疗保险费基数调整</w:t>
      </w:r>
    </w:p>
    <w:p>
      <w:pPr>
        <w:pStyle w:val="2"/>
        <w:keepNext w:val="0"/>
        <w:keepLines w:val="0"/>
        <w:widowControl/>
        <w:suppressLineNumbers w:val="0"/>
        <w:ind w:left="0" w:right="75"/>
        <w:jc w:val="left"/>
        <w:rPr>
          <w:rFonts w:hint="eastAsia"/>
          <w:color w:val="auto"/>
          <w:sz w:val="32"/>
          <w:szCs w:val="32"/>
          <w:shd w:val="clear" w:fill="FFFFFF"/>
          <w:lang w:eastAsia="zh-CN"/>
        </w:rPr>
      </w:pPr>
      <w:r>
        <w:rPr>
          <w:color w:val="auto"/>
          <w:sz w:val="32"/>
          <w:szCs w:val="32"/>
          <w:shd w:val="clear" w:fill="FFFFFF"/>
        </w:rPr>
        <w:t>（</w:t>
      </w:r>
      <w:r>
        <w:rPr>
          <w:rFonts w:hint="eastAsia"/>
          <w:color w:val="auto"/>
          <w:sz w:val="32"/>
          <w:szCs w:val="32"/>
          <w:shd w:val="clear" w:fill="FFFFFF"/>
          <w:lang w:val="en-US" w:eastAsia="zh-CN"/>
        </w:rPr>
        <w:t>5</w:t>
      </w:r>
      <w:r>
        <w:rPr>
          <w:color w:val="auto"/>
          <w:sz w:val="32"/>
          <w:szCs w:val="32"/>
          <w:shd w:val="clear" w:fill="FFFFFF"/>
        </w:rPr>
        <w:t>）城乡社区支出54,627.03万元，占90.4%，较年初预算数增加54,627.03万元，增长</w:t>
      </w:r>
      <w:r>
        <w:rPr>
          <w:rFonts w:hint="eastAsia"/>
          <w:color w:val="auto"/>
          <w:sz w:val="32"/>
          <w:szCs w:val="32"/>
          <w:shd w:val="clear" w:fill="FFFFFF"/>
          <w:lang w:val="en-US" w:eastAsia="zh-CN"/>
        </w:rPr>
        <w:t>100</w:t>
      </w:r>
      <w:r>
        <w:rPr>
          <w:color w:val="auto"/>
          <w:sz w:val="32"/>
          <w:szCs w:val="32"/>
          <w:shd w:val="clear" w:fill="FFFFFF"/>
        </w:rPr>
        <w:t>%，主要原因是</w:t>
      </w:r>
      <w:r>
        <w:rPr>
          <w:rFonts w:hint="eastAsia"/>
          <w:color w:val="auto"/>
          <w:sz w:val="32"/>
          <w:szCs w:val="32"/>
          <w:shd w:val="clear" w:fill="FFFFFF"/>
          <w:lang w:eastAsia="zh-CN"/>
        </w:rPr>
        <w:t>本年新增 海棠新城职业教育城①②③等项目。</w:t>
      </w:r>
    </w:p>
    <w:p>
      <w:pPr>
        <w:pStyle w:val="2"/>
        <w:keepNext w:val="0"/>
        <w:keepLines w:val="0"/>
        <w:widowControl/>
        <w:suppressLineNumbers w:val="0"/>
        <w:ind w:left="0" w:right="75"/>
        <w:jc w:val="left"/>
        <w:rPr>
          <w:rFonts w:hint="eastAsia"/>
          <w:color w:val="auto"/>
          <w:sz w:val="32"/>
          <w:szCs w:val="32"/>
          <w:shd w:val="clear" w:fill="FFFFFF"/>
          <w:lang w:eastAsia="zh-CN"/>
        </w:rPr>
      </w:pPr>
      <w:r>
        <w:rPr>
          <w:color w:val="auto"/>
          <w:sz w:val="32"/>
          <w:szCs w:val="32"/>
          <w:shd w:val="clear" w:fill="FFFFFF"/>
        </w:rPr>
        <w:t>（</w:t>
      </w:r>
      <w:r>
        <w:rPr>
          <w:rFonts w:hint="eastAsia"/>
          <w:color w:val="auto"/>
          <w:sz w:val="32"/>
          <w:szCs w:val="32"/>
          <w:shd w:val="clear" w:fill="FFFFFF"/>
          <w:lang w:val="en-US" w:eastAsia="zh-CN"/>
        </w:rPr>
        <w:t>6</w:t>
      </w:r>
      <w:r>
        <w:rPr>
          <w:color w:val="auto"/>
          <w:sz w:val="32"/>
          <w:szCs w:val="32"/>
          <w:shd w:val="clear" w:fill="FFFFFF"/>
        </w:rPr>
        <w:t>）住房保障支出5.69万元，占0</w:t>
      </w:r>
      <w:r>
        <w:rPr>
          <w:rFonts w:hint="eastAsia"/>
          <w:color w:val="auto"/>
          <w:sz w:val="32"/>
          <w:szCs w:val="32"/>
          <w:shd w:val="clear" w:fill="FFFFFF"/>
          <w:lang w:val="en-US" w:eastAsia="zh-CN"/>
        </w:rPr>
        <w:t>.004</w:t>
      </w:r>
      <w:r>
        <w:rPr>
          <w:color w:val="auto"/>
          <w:sz w:val="32"/>
          <w:szCs w:val="32"/>
          <w:shd w:val="clear" w:fill="FFFFFF"/>
        </w:rPr>
        <w:t>%，较年初预算数增加0.00万元，增长0%，</w:t>
      </w:r>
      <w:r>
        <w:rPr>
          <w:rFonts w:hint="eastAsia"/>
          <w:color w:val="auto"/>
          <w:sz w:val="32"/>
          <w:szCs w:val="32"/>
          <w:shd w:val="clear" w:fill="FFFFFF"/>
          <w:lang w:eastAsia="zh-CN"/>
        </w:rPr>
        <w:t>和年初预算持平。</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（四）一般公共预算财政拨款基本支出决算情况说明</w:t>
      </w:r>
    </w:p>
    <w:p>
      <w:pPr>
        <w:pStyle w:val="2"/>
        <w:shd w:val="clear" w:color="auto" w:fill="FFFFFF"/>
        <w:spacing w:before="0" w:beforeAutospacing="0" w:after="105" w:afterAutospacing="0" w:line="720" w:lineRule="atLeast"/>
        <w:ind w:firstLine="540"/>
        <w:rPr>
          <w:rFonts w:hint="eastAsia"/>
          <w:color w:val="auto"/>
          <w:sz w:val="32"/>
          <w:szCs w:val="32"/>
          <w:shd w:val="clear" w:fill="FFFFFF"/>
        </w:rPr>
      </w:pPr>
      <w:r>
        <w:rPr>
          <w:color w:val="auto"/>
          <w:sz w:val="32"/>
          <w:szCs w:val="32"/>
          <w:shd w:val="clear" w:fill="FFFFFF"/>
        </w:rPr>
        <w:t>2022年度一般公共预算财政拨款基本支出178.23万元。其中：人员经费143.81万元，较上年决算数减少103.93万元，下降42%，主要原因是</w:t>
      </w:r>
      <w:r>
        <w:rPr>
          <w:rFonts w:hint="eastAsia"/>
          <w:color w:val="auto"/>
          <w:sz w:val="32"/>
          <w:szCs w:val="32"/>
          <w:shd w:val="clear" w:fill="FFFFFF"/>
          <w:lang w:eastAsia="zh-CN"/>
        </w:rPr>
        <w:t>区海棠新城招商服务中心财务核算分离出去，</w:t>
      </w:r>
      <w:r>
        <w:rPr>
          <w:rFonts w:hint="eastAsia"/>
          <w:color w:val="auto"/>
          <w:sz w:val="32"/>
          <w:szCs w:val="32"/>
          <w:shd w:val="clear" w:fill="FFFFFF"/>
          <w:lang w:val="en-US" w:eastAsia="zh-CN"/>
        </w:rPr>
        <w:t>2022年独立预决算。</w:t>
      </w:r>
      <w:r>
        <w:rPr>
          <w:color w:val="auto"/>
          <w:sz w:val="32"/>
          <w:szCs w:val="32"/>
          <w:shd w:val="clear" w:fill="FFFFFF"/>
        </w:rPr>
        <w:t>人员经费用途主要包括</w:t>
      </w:r>
      <w:r>
        <w:rPr>
          <w:rFonts w:hint="eastAsia"/>
          <w:color w:val="auto"/>
          <w:sz w:val="32"/>
          <w:szCs w:val="32"/>
          <w:shd w:val="clear" w:fill="FFFFFF"/>
        </w:rPr>
        <w:t>基本工资、津贴补贴、奖金、社会保障缴费</w:t>
      </w:r>
      <w:r>
        <w:rPr>
          <w:color w:val="auto"/>
          <w:sz w:val="32"/>
          <w:szCs w:val="32"/>
          <w:shd w:val="clear" w:fill="FFFFFF"/>
        </w:rPr>
        <w:t>。公用经费34.42万元，较上年决算数减少25.97万元，下降43%，主要原因是</w:t>
      </w:r>
      <w:r>
        <w:rPr>
          <w:rFonts w:hint="eastAsia"/>
          <w:color w:val="auto"/>
          <w:sz w:val="32"/>
          <w:szCs w:val="32"/>
          <w:shd w:val="clear" w:fill="FFFFFF"/>
          <w:lang w:eastAsia="zh-CN"/>
        </w:rPr>
        <w:t>区海棠新城招商服务中心财务核算分离出去，</w:t>
      </w:r>
      <w:r>
        <w:rPr>
          <w:rFonts w:hint="eastAsia"/>
          <w:color w:val="auto"/>
          <w:sz w:val="32"/>
          <w:szCs w:val="32"/>
          <w:shd w:val="clear" w:fill="FFFFFF"/>
          <w:lang w:val="en-US" w:eastAsia="zh-CN"/>
        </w:rPr>
        <w:t>2022年独立预决算。</w:t>
      </w:r>
      <w:r>
        <w:rPr>
          <w:color w:val="auto"/>
          <w:sz w:val="32"/>
          <w:szCs w:val="32"/>
          <w:shd w:val="clear" w:fill="FFFFFF"/>
        </w:rPr>
        <w:t>公用经费用途主要包括</w:t>
      </w:r>
      <w:r>
        <w:rPr>
          <w:rFonts w:hint="eastAsia"/>
          <w:color w:val="auto"/>
          <w:sz w:val="32"/>
          <w:szCs w:val="32"/>
          <w:shd w:val="clear" w:fill="FFFFFF"/>
        </w:rPr>
        <w:t>办公费、印刷费、咨询费、手续费。</w:t>
      </w:r>
    </w:p>
    <w:p>
      <w:pPr>
        <w:pStyle w:val="2"/>
        <w:keepNext w:val="0"/>
        <w:keepLines w:val="0"/>
        <w:widowControl/>
        <w:suppressLineNumbers w:val="0"/>
        <w:ind w:left="0" w:right="75"/>
        <w:jc w:val="left"/>
        <w:rPr>
          <w:color w:val="auto"/>
          <w:sz w:val="32"/>
          <w:szCs w:val="32"/>
        </w:rPr>
      </w:pP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（五）政府性基金预算收支决算情况说明。</w:t>
      </w:r>
    </w:p>
    <w:p>
      <w:pPr>
        <w:pStyle w:val="2"/>
        <w:keepNext w:val="0"/>
        <w:keepLines w:val="0"/>
        <w:widowControl/>
        <w:suppressLineNumbers w:val="0"/>
        <w:ind w:left="0" w:right="75"/>
        <w:jc w:val="left"/>
        <w:rPr>
          <w:rFonts w:hint="eastAsia"/>
          <w:color w:val="auto"/>
          <w:sz w:val="32"/>
          <w:szCs w:val="32"/>
          <w:shd w:val="clear" w:fill="FFFFFF"/>
          <w:lang w:eastAsia="zh-CN"/>
        </w:rPr>
      </w:pPr>
      <w:r>
        <w:rPr>
          <w:color w:val="auto"/>
          <w:sz w:val="32"/>
          <w:szCs w:val="32"/>
          <w:shd w:val="clear" w:fill="FFFFFF"/>
        </w:rPr>
        <w:t>2022年度政府性基金预算财政拨款年初结转结余0.00万元，年末结转结余0.00万元。本年收入75,500.00万元，较上年决算数增加73,500.00万元，增长3675%，主要原因是</w:t>
      </w:r>
      <w:r>
        <w:rPr>
          <w:rFonts w:hint="eastAsia"/>
          <w:color w:val="auto"/>
          <w:sz w:val="32"/>
          <w:szCs w:val="32"/>
          <w:shd w:val="clear" w:fill="FFFFFF"/>
          <w:lang w:eastAsia="zh-CN"/>
        </w:rPr>
        <w:t>新增项目经费</w:t>
      </w:r>
      <w:r>
        <w:rPr>
          <w:rFonts w:hint="eastAsia"/>
          <w:color w:val="auto"/>
          <w:sz w:val="32"/>
          <w:szCs w:val="32"/>
          <w:shd w:val="clear" w:fill="FFFFFF"/>
        </w:rPr>
        <w:t xml:space="preserve">  化债资金（调） </w:t>
      </w:r>
      <w:r>
        <w:rPr>
          <w:rFonts w:hint="eastAsia"/>
          <w:color w:val="auto"/>
          <w:sz w:val="32"/>
          <w:szCs w:val="32"/>
          <w:shd w:val="clear" w:fill="FFFFFF"/>
          <w:lang w:eastAsia="zh-CN"/>
        </w:rPr>
        <w:t>，</w:t>
      </w:r>
      <w:r>
        <w:rPr>
          <w:rFonts w:hint="eastAsia"/>
          <w:color w:val="auto"/>
          <w:sz w:val="32"/>
          <w:szCs w:val="32"/>
          <w:shd w:val="clear" w:fill="FFFFFF"/>
        </w:rPr>
        <w:t>天宫河片区开发项目</w:t>
      </w:r>
      <w:r>
        <w:rPr>
          <w:rFonts w:hint="eastAsia"/>
          <w:color w:val="auto"/>
          <w:sz w:val="32"/>
          <w:szCs w:val="32"/>
          <w:shd w:val="clear" w:fill="FFFFFF"/>
          <w:lang w:eastAsia="zh-CN"/>
        </w:rPr>
        <w:t>，</w:t>
      </w:r>
      <w:r>
        <w:rPr>
          <w:rFonts w:hint="eastAsia"/>
          <w:color w:val="auto"/>
          <w:sz w:val="32"/>
          <w:szCs w:val="32"/>
          <w:shd w:val="clear" w:fill="FFFFFF"/>
        </w:rPr>
        <w:t xml:space="preserve"> 海棠新城职业教育城④项目</w:t>
      </w:r>
      <w:r>
        <w:rPr>
          <w:rFonts w:hint="eastAsia"/>
          <w:color w:val="auto"/>
          <w:sz w:val="32"/>
          <w:szCs w:val="32"/>
          <w:shd w:val="clear" w:fill="FFFFFF"/>
          <w:lang w:eastAsia="zh-CN"/>
        </w:rPr>
        <w:t>，</w:t>
      </w:r>
      <w:r>
        <w:rPr>
          <w:rFonts w:hint="eastAsia"/>
          <w:color w:val="auto"/>
          <w:sz w:val="32"/>
          <w:szCs w:val="32"/>
          <w:shd w:val="clear" w:fill="FFFFFF"/>
        </w:rPr>
        <w:t xml:space="preserve"> 大足区学前教育及职业教育提升改造工程</w:t>
      </w:r>
      <w:r>
        <w:rPr>
          <w:rFonts w:hint="eastAsia"/>
          <w:color w:val="auto"/>
          <w:sz w:val="32"/>
          <w:szCs w:val="32"/>
          <w:shd w:val="clear" w:fill="FFFFFF"/>
          <w:lang w:eastAsia="zh-CN"/>
        </w:rPr>
        <w:t>。</w:t>
      </w:r>
      <w:r>
        <w:rPr>
          <w:color w:val="auto"/>
          <w:sz w:val="32"/>
          <w:szCs w:val="32"/>
          <w:shd w:val="clear" w:fill="FFFFFF"/>
        </w:rPr>
        <w:t>本年支出75,500.00万元，较上年决算数增加73,500.00万元，增长3675%，主要原因是.</w:t>
      </w:r>
      <w:r>
        <w:rPr>
          <w:rFonts w:hint="eastAsia"/>
          <w:color w:val="auto"/>
          <w:sz w:val="32"/>
          <w:szCs w:val="32"/>
          <w:shd w:val="clear" w:fill="FFFFFF"/>
          <w:lang w:eastAsia="zh-CN"/>
        </w:rPr>
        <w:t>新增项目经费</w:t>
      </w:r>
      <w:r>
        <w:rPr>
          <w:rFonts w:hint="eastAsia"/>
          <w:color w:val="auto"/>
          <w:sz w:val="32"/>
          <w:szCs w:val="32"/>
          <w:shd w:val="clear" w:fill="FFFFFF"/>
        </w:rPr>
        <w:t xml:space="preserve">  化债资金（调） </w:t>
      </w:r>
      <w:r>
        <w:rPr>
          <w:rFonts w:hint="eastAsia"/>
          <w:color w:val="auto"/>
          <w:sz w:val="32"/>
          <w:szCs w:val="32"/>
          <w:shd w:val="clear" w:fill="FFFFFF"/>
          <w:lang w:eastAsia="zh-CN"/>
        </w:rPr>
        <w:t>，</w:t>
      </w:r>
      <w:r>
        <w:rPr>
          <w:rFonts w:hint="eastAsia"/>
          <w:color w:val="auto"/>
          <w:sz w:val="32"/>
          <w:szCs w:val="32"/>
          <w:shd w:val="clear" w:fill="FFFFFF"/>
        </w:rPr>
        <w:t>天宫河片区开发项目</w:t>
      </w:r>
      <w:r>
        <w:rPr>
          <w:rFonts w:hint="eastAsia"/>
          <w:color w:val="auto"/>
          <w:sz w:val="32"/>
          <w:szCs w:val="32"/>
          <w:shd w:val="clear" w:fill="FFFFFF"/>
          <w:lang w:eastAsia="zh-CN"/>
        </w:rPr>
        <w:t>，</w:t>
      </w:r>
      <w:r>
        <w:rPr>
          <w:rFonts w:hint="eastAsia"/>
          <w:color w:val="auto"/>
          <w:sz w:val="32"/>
          <w:szCs w:val="32"/>
          <w:shd w:val="clear" w:fill="FFFFFF"/>
        </w:rPr>
        <w:t xml:space="preserve"> 海棠新城职业教育城④项目</w:t>
      </w:r>
      <w:r>
        <w:rPr>
          <w:rFonts w:hint="eastAsia"/>
          <w:color w:val="auto"/>
          <w:sz w:val="32"/>
          <w:szCs w:val="32"/>
          <w:shd w:val="clear" w:fill="FFFFFF"/>
          <w:lang w:eastAsia="zh-CN"/>
        </w:rPr>
        <w:t>，</w:t>
      </w:r>
      <w:r>
        <w:rPr>
          <w:rFonts w:hint="eastAsia"/>
          <w:color w:val="auto"/>
          <w:sz w:val="32"/>
          <w:szCs w:val="32"/>
          <w:shd w:val="clear" w:fill="FFFFFF"/>
        </w:rPr>
        <w:t xml:space="preserve"> 大足区学前教育及职业教育提升改造工程</w:t>
      </w:r>
      <w:r>
        <w:rPr>
          <w:rFonts w:hint="eastAsia"/>
          <w:color w:val="auto"/>
          <w:sz w:val="32"/>
          <w:szCs w:val="32"/>
          <w:shd w:val="clear" w:fill="FFFFFF"/>
          <w:lang w:eastAsia="zh-CN"/>
        </w:rPr>
        <w:t>。</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（六）国有资本经营预算财政拨款支出决算情况说明。</w:t>
      </w:r>
    </w:p>
    <w:p>
      <w:pPr>
        <w:pStyle w:val="2"/>
        <w:shd w:val="clear" w:color="auto" w:fill="FFFFFF"/>
        <w:spacing w:before="0" w:beforeAutospacing="0" w:after="105" w:afterAutospacing="0" w:line="720" w:lineRule="atLeast"/>
        <w:rPr>
          <w:rFonts w:hint="eastAsia"/>
          <w:color w:val="auto"/>
          <w:sz w:val="32"/>
          <w:szCs w:val="32"/>
        </w:rPr>
      </w:pPr>
      <w:r>
        <w:rPr>
          <w:rFonts w:hint="eastAsia"/>
          <w:color w:val="auto"/>
          <w:sz w:val="32"/>
          <w:szCs w:val="32"/>
          <w:shd w:val="clear" w:color="auto" w:fill="FFFFFF"/>
        </w:rPr>
        <w:t>   </w:t>
      </w:r>
      <w:r>
        <w:rPr>
          <w:rFonts w:hint="eastAsia" w:ascii="方正仿宋_GBK" w:eastAsia="方正仿宋_GBK"/>
          <w:color w:val="auto"/>
          <w:sz w:val="32"/>
          <w:szCs w:val="32"/>
          <w:shd w:val="clear" w:color="auto" w:fill="FFFFFF"/>
        </w:rPr>
        <w:t>本部门202</w:t>
      </w:r>
      <w:r>
        <w:rPr>
          <w:rFonts w:hint="eastAsia" w:ascii="方正仿宋_GBK" w:eastAsia="方正仿宋_GBK"/>
          <w:color w:val="auto"/>
          <w:sz w:val="32"/>
          <w:szCs w:val="32"/>
          <w:shd w:val="clear" w:color="auto" w:fill="FFFFFF"/>
          <w:lang w:val="en-US" w:eastAsia="zh-CN"/>
        </w:rPr>
        <w:t>2</w:t>
      </w:r>
      <w:r>
        <w:rPr>
          <w:rFonts w:hint="eastAsia" w:ascii="方正仿宋_GBK" w:eastAsia="方正仿宋_GBK"/>
          <w:color w:val="auto"/>
          <w:sz w:val="32"/>
          <w:szCs w:val="32"/>
          <w:shd w:val="clear" w:color="auto" w:fill="FFFFFF"/>
        </w:rPr>
        <w:t>年度无国有资本经营预算财政拨款支出。</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三、“三公”经费情况说明</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（一）“三公”经费支出总体情况说明</w:t>
      </w:r>
    </w:p>
    <w:p>
      <w:pPr>
        <w:pStyle w:val="2"/>
        <w:keepNext w:val="0"/>
        <w:keepLines w:val="0"/>
        <w:widowControl/>
        <w:suppressLineNumbers w:val="0"/>
        <w:ind w:left="0" w:right="75"/>
        <w:jc w:val="left"/>
        <w:rPr>
          <w:rFonts w:hint="eastAsia"/>
          <w:color w:val="auto"/>
          <w:sz w:val="32"/>
          <w:szCs w:val="32"/>
          <w:shd w:val="clear" w:fill="FFFFFF"/>
          <w:lang w:val="en-US" w:eastAsia="zh-CN"/>
        </w:rPr>
      </w:pPr>
      <w:r>
        <w:rPr>
          <w:color w:val="auto"/>
          <w:sz w:val="32"/>
          <w:szCs w:val="32"/>
          <w:shd w:val="clear" w:fill="FFFFFF"/>
        </w:rPr>
        <w:t>2022年度“三公”经费支出共计24.27万元，较年初预算数增加19.04万元，增长364.1%，主要原因是</w:t>
      </w:r>
      <w:r>
        <w:rPr>
          <w:rFonts w:hint="eastAsia"/>
          <w:color w:val="auto"/>
          <w:sz w:val="32"/>
          <w:szCs w:val="32"/>
          <w:shd w:val="clear" w:fill="FFFFFF"/>
          <w:lang w:eastAsia="zh-CN"/>
        </w:rPr>
        <w:t>公务用车购置。</w:t>
      </w:r>
      <w:r>
        <w:rPr>
          <w:rFonts w:hint="eastAsia"/>
          <w:color w:val="auto"/>
          <w:sz w:val="32"/>
          <w:szCs w:val="32"/>
          <w:shd w:val="clear" w:fill="FFFFFF"/>
          <w:lang w:val="en-US" w:eastAsia="zh-CN"/>
        </w:rPr>
        <w:t>2022年购入1辆公务用车。</w:t>
      </w:r>
      <w:r>
        <w:rPr>
          <w:color w:val="auto"/>
          <w:sz w:val="32"/>
          <w:szCs w:val="32"/>
          <w:shd w:val="clear" w:fill="FFFFFF"/>
        </w:rPr>
        <w:t>较上年支出数增加10.75万元，增长79.5%，主要原因是</w:t>
      </w:r>
      <w:r>
        <w:rPr>
          <w:rFonts w:hint="eastAsia"/>
          <w:color w:val="auto"/>
          <w:sz w:val="32"/>
          <w:szCs w:val="32"/>
          <w:shd w:val="clear" w:fill="FFFFFF"/>
          <w:lang w:eastAsia="zh-CN"/>
        </w:rPr>
        <w:t>公务用车购置。</w:t>
      </w:r>
      <w:r>
        <w:rPr>
          <w:rFonts w:hint="eastAsia"/>
          <w:color w:val="auto"/>
          <w:sz w:val="32"/>
          <w:szCs w:val="32"/>
          <w:shd w:val="clear" w:fill="FFFFFF"/>
          <w:lang w:val="en-US" w:eastAsia="zh-CN"/>
        </w:rPr>
        <w:t>2022年购入1辆公务用车。</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（二）“三公”经费分项支出情况</w:t>
      </w:r>
    </w:p>
    <w:p>
      <w:pPr>
        <w:pStyle w:val="2"/>
        <w:keepNext w:val="0"/>
        <w:keepLines w:val="0"/>
        <w:widowControl/>
        <w:suppressLineNumbers w:val="0"/>
        <w:ind w:left="0" w:right="75"/>
        <w:jc w:val="left"/>
        <w:rPr>
          <w:rFonts w:hint="eastAsia" w:ascii="宋体" w:hAnsi="宋体" w:eastAsia="宋体" w:cs="宋体"/>
          <w:color w:val="auto"/>
          <w:kern w:val="0"/>
          <w:sz w:val="32"/>
          <w:szCs w:val="32"/>
          <w:shd w:val="clear" w:fill="FFFFFF"/>
          <w:lang w:val="en-US" w:eastAsia="zh-CN" w:bidi="ar"/>
        </w:rPr>
      </w:pPr>
      <w:r>
        <w:rPr>
          <w:color w:val="auto"/>
          <w:sz w:val="32"/>
          <w:szCs w:val="32"/>
          <w:shd w:val="clear" w:fill="FFFFFF"/>
        </w:rPr>
        <w:t>2022年度本部门因公出国（境）费用0.00万元，</w:t>
      </w:r>
      <w:r>
        <w:rPr>
          <w:rFonts w:hint="eastAsia" w:ascii="宋体" w:hAnsi="宋体" w:eastAsia="宋体" w:cs="宋体"/>
          <w:color w:val="auto"/>
          <w:kern w:val="0"/>
          <w:sz w:val="32"/>
          <w:szCs w:val="32"/>
          <w:shd w:val="clear" w:fill="FFFFFF"/>
          <w:lang w:val="en-US" w:eastAsia="zh-CN" w:bidi="ar"/>
        </w:rPr>
        <w:t>本单位2022年度未发生因公出国（境）费用，</w:t>
      </w:r>
      <w:r>
        <w:rPr>
          <w:color w:val="auto"/>
          <w:sz w:val="32"/>
          <w:szCs w:val="32"/>
          <w:shd w:val="clear" w:fill="FFFFFF"/>
        </w:rPr>
        <w:t>费用支出较年初预算数增加0.00万元，增长</w:t>
      </w:r>
      <w:r>
        <w:rPr>
          <w:rFonts w:hint="eastAsia"/>
          <w:color w:val="auto"/>
          <w:sz w:val="32"/>
          <w:szCs w:val="32"/>
          <w:shd w:val="clear" w:fill="FFFFFF"/>
          <w:lang w:val="en-US" w:eastAsia="zh-CN"/>
        </w:rPr>
        <w:t>0</w:t>
      </w:r>
      <w:r>
        <w:rPr>
          <w:color w:val="auto"/>
          <w:sz w:val="32"/>
          <w:szCs w:val="32"/>
          <w:shd w:val="clear" w:fill="FFFFFF"/>
        </w:rPr>
        <w:t>%，</w:t>
      </w:r>
      <w:r>
        <w:rPr>
          <w:rFonts w:hint="eastAsia"/>
          <w:color w:val="auto"/>
          <w:sz w:val="32"/>
          <w:szCs w:val="32"/>
          <w:shd w:val="clear" w:fill="FFFFFF"/>
          <w:lang w:val="en-US" w:eastAsia="zh-CN"/>
        </w:rPr>
        <w:t>与年初数持平，</w:t>
      </w:r>
      <w:r>
        <w:rPr>
          <w:rFonts w:hint="eastAsia" w:ascii="宋体" w:hAnsi="宋体" w:eastAsia="宋体" w:cs="宋体"/>
          <w:color w:val="auto"/>
          <w:kern w:val="0"/>
          <w:sz w:val="32"/>
          <w:szCs w:val="32"/>
          <w:shd w:val="clear" w:fill="FFFFFF"/>
          <w:lang w:val="en-US" w:eastAsia="zh-CN" w:bidi="ar"/>
        </w:rPr>
        <w:t>本单位2022年度未发生因公出国（境）费用，</w:t>
      </w:r>
      <w:r>
        <w:rPr>
          <w:color w:val="auto"/>
          <w:sz w:val="32"/>
          <w:szCs w:val="32"/>
          <w:shd w:val="clear" w:fill="FFFFFF"/>
        </w:rPr>
        <w:t>较上年支出数增加0.00万元，增长</w:t>
      </w:r>
      <w:r>
        <w:rPr>
          <w:rFonts w:hint="eastAsia"/>
          <w:color w:val="auto"/>
          <w:sz w:val="32"/>
          <w:szCs w:val="32"/>
          <w:shd w:val="clear" w:fill="FFFFFF"/>
          <w:lang w:val="en-US" w:eastAsia="zh-CN"/>
        </w:rPr>
        <w:t>0</w:t>
      </w:r>
      <w:r>
        <w:rPr>
          <w:color w:val="auto"/>
          <w:sz w:val="32"/>
          <w:szCs w:val="32"/>
          <w:shd w:val="clear" w:fill="FFFFFF"/>
        </w:rPr>
        <w:t>%，</w:t>
      </w:r>
      <w:bookmarkStart w:id="5" w:name="OLE_LINK2"/>
      <w:r>
        <w:rPr>
          <w:rFonts w:hint="eastAsia"/>
          <w:color w:val="auto"/>
          <w:sz w:val="32"/>
          <w:szCs w:val="32"/>
          <w:shd w:val="clear" w:fill="FFFFFF"/>
          <w:lang w:val="en-US" w:eastAsia="zh-CN"/>
        </w:rPr>
        <w:t>与上年数持平</w:t>
      </w:r>
      <w:bookmarkEnd w:id="5"/>
      <w:r>
        <w:rPr>
          <w:rFonts w:hint="eastAsia"/>
          <w:color w:val="auto"/>
          <w:sz w:val="32"/>
          <w:szCs w:val="32"/>
          <w:shd w:val="clear" w:fill="FFFFFF"/>
          <w:lang w:val="en-US" w:eastAsia="zh-CN"/>
        </w:rPr>
        <w:t>。</w:t>
      </w:r>
      <w:r>
        <w:rPr>
          <w:color w:val="auto"/>
          <w:sz w:val="32"/>
          <w:szCs w:val="32"/>
          <w:shd w:val="clear" w:fill="FFFFFF"/>
        </w:rPr>
        <w:t>主要原因是.</w:t>
      </w:r>
      <w:r>
        <w:rPr>
          <w:rFonts w:hint="eastAsia" w:ascii="宋体" w:hAnsi="宋体" w:eastAsia="宋体" w:cs="宋体"/>
          <w:color w:val="auto"/>
          <w:kern w:val="0"/>
          <w:sz w:val="32"/>
          <w:szCs w:val="32"/>
          <w:shd w:val="clear" w:fill="FFFFFF"/>
          <w:lang w:val="en-US" w:eastAsia="zh-CN" w:bidi="ar"/>
        </w:rPr>
        <w:t>本单位2022年度未发生因公出国（境）费用。</w:t>
      </w:r>
    </w:p>
    <w:p>
      <w:pPr>
        <w:pStyle w:val="2"/>
        <w:keepNext w:val="0"/>
        <w:keepLines w:val="0"/>
        <w:widowControl/>
        <w:suppressLineNumbers w:val="0"/>
        <w:ind w:left="0" w:right="75"/>
        <w:jc w:val="left"/>
        <w:rPr>
          <w:color w:val="auto"/>
          <w:sz w:val="32"/>
          <w:szCs w:val="32"/>
        </w:rPr>
      </w:pPr>
      <w:r>
        <w:rPr>
          <w:color w:val="auto"/>
          <w:sz w:val="32"/>
          <w:szCs w:val="32"/>
          <w:shd w:val="clear" w:fill="FFFFFF"/>
        </w:rPr>
        <w:t>公务车购置费17.88万元，主要用于</w:t>
      </w:r>
      <w:r>
        <w:rPr>
          <w:rFonts w:hint="eastAsia" w:ascii="宋体" w:hAnsi="宋体" w:eastAsia="宋体" w:cs="宋体"/>
          <w:color w:val="auto"/>
          <w:kern w:val="0"/>
          <w:sz w:val="32"/>
          <w:szCs w:val="32"/>
          <w:shd w:val="clear" w:fill="FFFFFF"/>
        </w:rPr>
        <w:t>机要文件交换、市内因公出行、行政业务检查等工作所需车辆。</w:t>
      </w:r>
      <w:r>
        <w:rPr>
          <w:color w:val="auto"/>
          <w:sz w:val="32"/>
          <w:szCs w:val="32"/>
          <w:shd w:val="clear" w:fill="FFFFFF"/>
        </w:rPr>
        <w:t>费用支出较年初预算数增加17.88万元，增长</w:t>
      </w:r>
      <w:r>
        <w:rPr>
          <w:rFonts w:hint="eastAsia"/>
          <w:color w:val="auto"/>
          <w:sz w:val="32"/>
          <w:szCs w:val="32"/>
          <w:shd w:val="clear" w:fill="FFFFFF"/>
          <w:lang w:val="en-US" w:eastAsia="zh-CN"/>
        </w:rPr>
        <w:t>100</w:t>
      </w:r>
      <w:r>
        <w:rPr>
          <w:color w:val="auto"/>
          <w:sz w:val="32"/>
          <w:szCs w:val="32"/>
          <w:shd w:val="clear" w:fill="FFFFFF"/>
        </w:rPr>
        <w:t>%，主要原因是</w:t>
      </w:r>
      <w:r>
        <w:rPr>
          <w:rFonts w:hint="eastAsia"/>
          <w:color w:val="auto"/>
          <w:sz w:val="32"/>
          <w:szCs w:val="32"/>
          <w:shd w:val="clear" w:fill="FFFFFF"/>
          <w:lang w:eastAsia="zh-CN"/>
        </w:rPr>
        <w:t>公务用车购置。</w:t>
      </w:r>
      <w:r>
        <w:rPr>
          <w:rFonts w:hint="eastAsia"/>
          <w:color w:val="auto"/>
          <w:sz w:val="32"/>
          <w:szCs w:val="32"/>
          <w:shd w:val="clear" w:fill="FFFFFF"/>
          <w:lang w:val="en-US" w:eastAsia="zh-CN"/>
        </w:rPr>
        <w:t>2022年购入1辆公务用车。</w:t>
      </w:r>
      <w:r>
        <w:rPr>
          <w:color w:val="auto"/>
          <w:sz w:val="32"/>
          <w:szCs w:val="32"/>
          <w:shd w:val="clear" w:fill="FFFFFF"/>
        </w:rPr>
        <w:t>较上年支出数增加17.88万元，增长</w:t>
      </w:r>
      <w:r>
        <w:rPr>
          <w:rFonts w:hint="eastAsia"/>
          <w:color w:val="auto"/>
          <w:sz w:val="32"/>
          <w:szCs w:val="32"/>
          <w:shd w:val="clear" w:fill="FFFFFF"/>
          <w:lang w:val="en-US" w:eastAsia="zh-CN"/>
        </w:rPr>
        <w:t>100</w:t>
      </w:r>
      <w:r>
        <w:rPr>
          <w:color w:val="auto"/>
          <w:sz w:val="32"/>
          <w:szCs w:val="32"/>
          <w:shd w:val="clear" w:fill="FFFFFF"/>
        </w:rPr>
        <w:t>%，主要原因是</w:t>
      </w:r>
      <w:r>
        <w:rPr>
          <w:rFonts w:hint="eastAsia"/>
          <w:color w:val="auto"/>
          <w:sz w:val="32"/>
          <w:szCs w:val="32"/>
          <w:shd w:val="clear" w:fill="FFFFFF"/>
          <w:lang w:eastAsia="zh-CN"/>
        </w:rPr>
        <w:t>公务用车购置。</w:t>
      </w:r>
      <w:r>
        <w:rPr>
          <w:rFonts w:hint="eastAsia"/>
          <w:color w:val="auto"/>
          <w:sz w:val="32"/>
          <w:szCs w:val="32"/>
          <w:shd w:val="clear" w:fill="FFFFFF"/>
          <w:lang w:val="en-US" w:eastAsia="zh-CN"/>
        </w:rPr>
        <w:t>2022年购入1辆公务用车。</w:t>
      </w:r>
    </w:p>
    <w:p>
      <w:pPr>
        <w:pStyle w:val="2"/>
        <w:keepNext w:val="0"/>
        <w:keepLines w:val="0"/>
        <w:widowControl/>
        <w:suppressLineNumbers w:val="0"/>
        <w:ind w:left="0" w:right="75"/>
        <w:jc w:val="left"/>
        <w:rPr>
          <w:rFonts w:hint="eastAsia" w:ascii="宋体" w:hAnsi="宋体" w:eastAsia="宋体" w:cs="宋体"/>
          <w:color w:val="auto"/>
          <w:kern w:val="0"/>
          <w:sz w:val="32"/>
          <w:szCs w:val="32"/>
          <w:shd w:val="clear" w:fill="FFFFFF"/>
          <w:lang w:eastAsia="zh-CN"/>
        </w:rPr>
      </w:pPr>
      <w:r>
        <w:rPr>
          <w:color w:val="auto"/>
          <w:sz w:val="32"/>
          <w:szCs w:val="32"/>
          <w:shd w:val="clear" w:fill="FFFFFF"/>
        </w:rPr>
        <w:t>公务车运行维护费3.99万元，主要用于</w:t>
      </w:r>
      <w:r>
        <w:rPr>
          <w:rFonts w:hint="eastAsia" w:ascii="宋体" w:hAnsi="宋体" w:eastAsia="宋体" w:cs="宋体"/>
          <w:color w:val="auto"/>
          <w:kern w:val="0"/>
          <w:sz w:val="32"/>
          <w:szCs w:val="32"/>
          <w:shd w:val="clear" w:fill="FFFFFF"/>
        </w:rPr>
        <w:t>机要文件交换、市内因公出行、行政业务检查等工作所需车辆的燃料费、维修费、过桥过路费、保险费等</w:t>
      </w:r>
      <w:r>
        <w:rPr>
          <w:color w:val="auto"/>
          <w:sz w:val="32"/>
          <w:szCs w:val="32"/>
          <w:shd w:val="clear" w:fill="FFFFFF"/>
        </w:rPr>
        <w:t>费用</w:t>
      </w:r>
      <w:r>
        <w:rPr>
          <w:rFonts w:hint="eastAsia"/>
          <w:color w:val="auto"/>
          <w:sz w:val="32"/>
          <w:szCs w:val="32"/>
          <w:shd w:val="clear" w:fill="FFFFFF"/>
          <w:lang w:eastAsia="zh-CN"/>
        </w:rPr>
        <w:t>。</w:t>
      </w:r>
      <w:r>
        <w:rPr>
          <w:color w:val="auto"/>
          <w:sz w:val="32"/>
          <w:szCs w:val="32"/>
          <w:shd w:val="clear" w:fill="FFFFFF"/>
        </w:rPr>
        <w:t>支出较年初预算数减少0.01万元，下降0.3%</w:t>
      </w:r>
      <w:r>
        <w:rPr>
          <w:rFonts w:hint="eastAsia" w:ascii="宋体" w:hAnsi="宋体" w:eastAsia="宋体" w:cs="宋体"/>
          <w:color w:val="auto"/>
          <w:kern w:val="0"/>
          <w:sz w:val="32"/>
          <w:szCs w:val="32"/>
          <w:shd w:val="clear" w:fill="FFFFFF"/>
        </w:rPr>
        <w:t>，主要原因是主要原因是严格落实公车使用规定，严禁公车私用。较上年支出数增加0.00万元，增长0%，</w:t>
      </w:r>
      <w:r>
        <w:rPr>
          <w:rFonts w:hint="eastAsia" w:ascii="宋体" w:hAnsi="宋体" w:eastAsia="宋体" w:cs="宋体"/>
          <w:color w:val="auto"/>
          <w:kern w:val="0"/>
          <w:sz w:val="32"/>
          <w:szCs w:val="32"/>
          <w:shd w:val="clear" w:fill="FFFFFF"/>
          <w:lang w:eastAsia="zh-CN"/>
        </w:rPr>
        <w:t>和上年决算数持平。</w:t>
      </w:r>
    </w:p>
    <w:p>
      <w:pPr>
        <w:pStyle w:val="2"/>
        <w:keepNext w:val="0"/>
        <w:keepLines w:val="0"/>
        <w:widowControl/>
        <w:suppressLineNumbers w:val="0"/>
        <w:ind w:left="0" w:right="75"/>
        <w:jc w:val="left"/>
        <w:rPr>
          <w:rFonts w:hint="eastAsia"/>
          <w:color w:val="auto"/>
          <w:sz w:val="32"/>
          <w:szCs w:val="32"/>
          <w:shd w:val="clear" w:fill="FFFFFF"/>
          <w:lang w:eastAsia="zh-CN"/>
        </w:rPr>
      </w:pPr>
      <w:r>
        <w:rPr>
          <w:color w:val="auto"/>
          <w:sz w:val="32"/>
          <w:szCs w:val="32"/>
          <w:shd w:val="clear" w:fill="FFFFFF"/>
        </w:rPr>
        <w:t>公务接待费2.40万元，主要用于接待</w:t>
      </w:r>
      <w:r>
        <w:rPr>
          <w:rFonts w:hint="eastAsia" w:ascii="方正仿宋_GBK" w:hAnsi="微软雅黑" w:eastAsia="方正仿宋_GBK"/>
          <w:color w:val="auto"/>
          <w:sz w:val="32"/>
          <w:szCs w:val="32"/>
          <w:shd w:val="clear" w:color="auto" w:fill="FFFFFF"/>
        </w:rPr>
        <w:t>接待招商引资客商等</w:t>
      </w:r>
      <w:r>
        <w:rPr>
          <w:color w:val="auto"/>
          <w:sz w:val="32"/>
          <w:szCs w:val="32"/>
          <w:shd w:val="clear" w:fill="FFFFFF"/>
        </w:rPr>
        <w:t>。费用支出较年初预算数增加1.17万元，增长95.1%，主要原因是</w:t>
      </w:r>
      <w:r>
        <w:rPr>
          <w:rFonts w:hint="eastAsia"/>
          <w:color w:val="auto"/>
          <w:sz w:val="32"/>
          <w:szCs w:val="32"/>
          <w:shd w:val="clear" w:fill="FFFFFF"/>
          <w:lang w:val="en-US" w:eastAsia="zh-CN"/>
        </w:rPr>
        <w:t>2022年公务接待费分别在区海棠新城开发区管委会本级和区海棠新城招商服务中心预算，故本级预算少了。</w:t>
      </w:r>
      <w:r>
        <w:rPr>
          <w:color w:val="auto"/>
          <w:sz w:val="32"/>
          <w:szCs w:val="32"/>
          <w:shd w:val="clear" w:fill="FFFFFF"/>
        </w:rPr>
        <w:t>较上年支出数减少7.13万元，下降74.8%，主要原因</w:t>
      </w:r>
      <w:r>
        <w:rPr>
          <w:rFonts w:hint="eastAsia"/>
          <w:color w:val="auto"/>
          <w:sz w:val="32"/>
          <w:szCs w:val="32"/>
          <w:shd w:val="clear" w:fill="FFFFFF"/>
          <w:lang w:eastAsia="zh-CN"/>
        </w:rPr>
        <w:t>一</w:t>
      </w:r>
      <w:r>
        <w:rPr>
          <w:rFonts w:hint="eastAsia"/>
          <w:color w:val="auto"/>
          <w:sz w:val="32"/>
          <w:szCs w:val="32"/>
          <w:shd w:val="clear" w:fill="FFFFFF"/>
        </w:rPr>
        <w:t>是强化公务接待支出管理，严格遵守公务接待开支范围和开支标准，</w:t>
      </w:r>
      <w:r>
        <w:rPr>
          <w:rFonts w:hint="eastAsia"/>
          <w:color w:val="auto"/>
          <w:sz w:val="32"/>
          <w:szCs w:val="32"/>
          <w:shd w:val="clear" w:fill="FFFFFF"/>
          <w:lang w:eastAsia="zh-CN"/>
        </w:rPr>
        <w:t>二是有部分公务接待费在下属事业单位区海棠新城招商服务中心核算。</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（三）“三公”经费实物量情况</w:t>
      </w:r>
    </w:p>
    <w:p>
      <w:pPr>
        <w:pStyle w:val="2"/>
        <w:keepNext w:val="0"/>
        <w:keepLines w:val="0"/>
        <w:widowControl/>
        <w:suppressLineNumbers w:val="0"/>
        <w:ind w:left="0" w:right="75"/>
        <w:jc w:val="left"/>
        <w:rPr>
          <w:color w:val="auto"/>
          <w:sz w:val="32"/>
          <w:szCs w:val="32"/>
        </w:rPr>
      </w:pPr>
      <w:r>
        <w:rPr>
          <w:color w:val="auto"/>
          <w:sz w:val="32"/>
          <w:szCs w:val="32"/>
          <w:shd w:val="clear" w:fill="FFFFFF"/>
        </w:rPr>
        <w:t>2022年度本部门因公出国（境）共计0个团组，0人；公务用车购置1辆，公务车保有量为1辆；国内公务接待78批次312人，其中：国内外事接待0批次，0人；国（境）外公务接待0批次，0人。2022年本部门人均接待费76.88元，车均购置费17.88万元，车均维护费3.99万元。</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四、其他需要说明的事项</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（一）财政拨款会议费和培训费情况说明</w:t>
      </w:r>
    </w:p>
    <w:p>
      <w:pPr>
        <w:pStyle w:val="2"/>
        <w:keepNext w:val="0"/>
        <w:keepLines w:val="0"/>
        <w:widowControl/>
        <w:suppressLineNumbers w:val="0"/>
        <w:ind w:left="0" w:right="75"/>
        <w:jc w:val="left"/>
        <w:rPr>
          <w:rFonts w:hint="eastAsia" w:eastAsiaTheme="minorEastAsia"/>
          <w:color w:val="auto"/>
          <w:sz w:val="32"/>
          <w:szCs w:val="32"/>
          <w:lang w:eastAsia="zh-CN"/>
        </w:rPr>
      </w:pPr>
      <w:r>
        <w:rPr>
          <w:color w:val="auto"/>
          <w:sz w:val="32"/>
          <w:szCs w:val="32"/>
          <w:shd w:val="clear" w:fill="FFFFFF"/>
        </w:rPr>
        <w:t>本年度会议费支出0.00万元，较上年决算数增加0.00万元，增长%，</w:t>
      </w:r>
      <w:r>
        <w:rPr>
          <w:rFonts w:hint="eastAsia"/>
          <w:color w:val="auto"/>
          <w:sz w:val="32"/>
          <w:szCs w:val="32"/>
          <w:shd w:val="clear" w:fill="FFFFFF"/>
          <w:lang w:eastAsia="zh-CN"/>
        </w:rPr>
        <w:t>和</w:t>
      </w:r>
      <w:r>
        <w:rPr>
          <w:color w:val="auto"/>
          <w:sz w:val="32"/>
          <w:szCs w:val="32"/>
          <w:shd w:val="clear" w:fill="FFFFFF"/>
        </w:rPr>
        <w:t>上年决算数</w:t>
      </w:r>
      <w:r>
        <w:rPr>
          <w:rFonts w:hint="eastAsia"/>
          <w:color w:val="auto"/>
          <w:sz w:val="32"/>
          <w:szCs w:val="32"/>
          <w:shd w:val="clear" w:fill="FFFFFF"/>
          <w:lang w:eastAsia="zh-CN"/>
        </w:rPr>
        <w:t>持平。</w:t>
      </w:r>
      <w:r>
        <w:rPr>
          <w:color w:val="auto"/>
          <w:sz w:val="32"/>
          <w:szCs w:val="32"/>
          <w:shd w:val="clear" w:fill="FFFFFF"/>
        </w:rPr>
        <w:t>本年度培训费支出0.69万元，较上年决算数增加0.69万元，增长</w:t>
      </w:r>
      <w:r>
        <w:rPr>
          <w:rFonts w:hint="eastAsia"/>
          <w:color w:val="auto"/>
          <w:sz w:val="32"/>
          <w:szCs w:val="32"/>
          <w:shd w:val="clear" w:fill="FFFFFF"/>
          <w:lang w:val="en-US" w:eastAsia="zh-CN"/>
        </w:rPr>
        <w:t>100</w:t>
      </w:r>
      <w:r>
        <w:rPr>
          <w:color w:val="auto"/>
          <w:sz w:val="32"/>
          <w:szCs w:val="32"/>
          <w:shd w:val="clear" w:fill="FFFFFF"/>
        </w:rPr>
        <w:t>%，主要原因是</w:t>
      </w:r>
      <w:r>
        <w:rPr>
          <w:rFonts w:hint="eastAsia"/>
          <w:color w:val="auto"/>
          <w:sz w:val="32"/>
          <w:szCs w:val="32"/>
          <w:shd w:val="clear" w:fill="FFFFFF"/>
          <w:lang w:eastAsia="zh-CN"/>
        </w:rPr>
        <w:t>业务培训费增加。</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（二）机关运行经费支出情况说明</w:t>
      </w:r>
    </w:p>
    <w:p>
      <w:pPr>
        <w:pStyle w:val="2"/>
        <w:keepNext w:val="0"/>
        <w:keepLines w:val="0"/>
        <w:widowControl/>
        <w:suppressLineNumbers w:val="0"/>
        <w:ind w:left="0" w:right="75"/>
        <w:jc w:val="left"/>
        <w:rPr>
          <w:rFonts w:hint="eastAsia"/>
          <w:color w:val="auto"/>
          <w:sz w:val="32"/>
          <w:szCs w:val="32"/>
          <w:shd w:val="clear" w:fill="FFFFFF"/>
          <w:lang w:eastAsia="zh-CN"/>
        </w:rPr>
      </w:pPr>
      <w:r>
        <w:rPr>
          <w:color w:val="auto"/>
          <w:sz w:val="32"/>
          <w:szCs w:val="32"/>
          <w:shd w:val="clear" w:fill="FFFFFF"/>
        </w:rPr>
        <w:t>2022年度本部门机关运行经费支出34.42万元，主要用于开支</w:t>
      </w:r>
      <w:r>
        <w:rPr>
          <w:rFonts w:hint="eastAsia"/>
          <w:color w:val="auto"/>
          <w:sz w:val="32"/>
          <w:szCs w:val="32"/>
          <w:shd w:val="clear" w:fill="FFFFFF"/>
        </w:rPr>
        <w:t>机关运行经费主要用于开支办公费、水费、电费等</w:t>
      </w:r>
      <w:r>
        <w:rPr>
          <w:color w:val="auto"/>
          <w:sz w:val="32"/>
          <w:szCs w:val="32"/>
          <w:shd w:val="clear" w:fill="FFFFFF"/>
        </w:rPr>
        <w:t>。机关运行经费较上年决算数减少25.97万元，下降43%，主要原因是</w:t>
      </w:r>
      <w:r>
        <w:rPr>
          <w:rFonts w:hint="eastAsia"/>
          <w:color w:val="auto"/>
          <w:sz w:val="32"/>
          <w:szCs w:val="32"/>
          <w:shd w:val="clear" w:fill="FFFFFF"/>
          <w:lang w:eastAsia="zh-CN"/>
        </w:rPr>
        <w:t>差旅费等减少。</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（三）国有资产占用情况说明</w:t>
      </w:r>
    </w:p>
    <w:p>
      <w:pPr>
        <w:pStyle w:val="2"/>
        <w:keepNext w:val="0"/>
        <w:keepLines w:val="0"/>
        <w:widowControl/>
        <w:suppressLineNumbers w:val="0"/>
        <w:ind w:left="0" w:right="75"/>
        <w:jc w:val="left"/>
        <w:rPr>
          <w:color w:val="auto"/>
          <w:sz w:val="32"/>
          <w:szCs w:val="32"/>
        </w:rPr>
      </w:pPr>
      <w:r>
        <w:rPr>
          <w:color w:val="auto"/>
          <w:sz w:val="32"/>
          <w:szCs w:val="32"/>
          <w:shd w:val="clear" w:fill="FFFFFF"/>
        </w:rPr>
        <w:t>截至2022年12月31日，本部门共有车辆1辆，其中，副部（省）级及以上领导用车0辆、主要领导干部用车0辆、机要通信用车0辆、应急保障用车1辆、执法执勤用车0辆，特种专业技术用车0辆，离退休干部用车0辆，其他用车0辆。单价100万元（含）以上设备（不含车辆）0台（套）。</w:t>
      </w:r>
    </w:p>
    <w:p>
      <w:pPr>
        <w:pStyle w:val="2"/>
        <w:keepNext w:val="0"/>
        <w:keepLines w:val="0"/>
        <w:widowControl/>
        <w:numPr>
          <w:ilvl w:val="0"/>
          <w:numId w:val="1"/>
        </w:numPr>
        <w:suppressLineNumbers w:val="0"/>
        <w:ind w:left="0" w:right="75"/>
        <w:jc w:val="left"/>
        <w:rPr>
          <w:rStyle w:val="5"/>
          <w:color w:val="auto"/>
          <w:sz w:val="32"/>
          <w:szCs w:val="32"/>
          <w:shd w:val="clear" w:fill="FFFFFF"/>
        </w:rPr>
      </w:pPr>
      <w:r>
        <w:rPr>
          <w:rStyle w:val="5"/>
          <w:color w:val="auto"/>
          <w:sz w:val="32"/>
          <w:szCs w:val="32"/>
          <w:shd w:val="clear" w:fill="FFFFFF"/>
        </w:rPr>
        <w:t>政府采购支出说明</w:t>
      </w:r>
    </w:p>
    <w:p>
      <w:pPr>
        <w:pStyle w:val="2"/>
        <w:keepNext w:val="0"/>
        <w:keepLines w:val="0"/>
        <w:widowControl/>
        <w:suppressLineNumbers w:val="0"/>
        <w:ind w:left="0" w:right="75"/>
        <w:jc w:val="left"/>
        <w:rPr>
          <w:color w:val="auto"/>
          <w:sz w:val="32"/>
          <w:szCs w:val="32"/>
          <w:shd w:val="clear" w:fill="FFFFFF"/>
        </w:rPr>
      </w:pPr>
      <w:r>
        <w:rPr>
          <w:color w:val="auto"/>
          <w:sz w:val="32"/>
          <w:szCs w:val="32"/>
          <w:shd w:val="clear" w:fill="FFFFFF"/>
        </w:rPr>
        <w:t>2022年度我单位未发生政府采购事项，无相关经费支出。</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五、预算绩效管理情况说明</w:t>
      </w:r>
    </w:p>
    <w:p>
      <w:pPr>
        <w:pStyle w:val="2"/>
        <w:keepNext w:val="0"/>
        <w:keepLines w:val="0"/>
        <w:widowControl/>
        <w:suppressLineNumbers w:val="0"/>
        <w:ind w:left="0" w:right="75"/>
        <w:jc w:val="left"/>
        <w:rPr>
          <w:rStyle w:val="5"/>
          <w:color w:val="auto"/>
          <w:sz w:val="32"/>
          <w:szCs w:val="32"/>
          <w:shd w:val="clear" w:fill="FFFFFF"/>
        </w:rPr>
      </w:pPr>
      <w:r>
        <w:rPr>
          <w:rStyle w:val="5"/>
          <w:color w:val="auto"/>
          <w:sz w:val="32"/>
          <w:szCs w:val="32"/>
          <w:shd w:val="clear" w:fill="FFFFFF"/>
        </w:rPr>
        <w:t>（一）预算绩效管理工作开展情况</w:t>
      </w:r>
    </w:p>
    <w:p>
      <w:pPr>
        <w:pStyle w:val="2"/>
        <w:keepNext w:val="0"/>
        <w:keepLines w:val="0"/>
        <w:widowControl/>
        <w:suppressLineNumbers w:val="0"/>
        <w:ind w:left="0" w:right="75"/>
        <w:jc w:val="left"/>
        <w:rPr>
          <w:rStyle w:val="5"/>
          <w:color w:val="auto"/>
          <w:sz w:val="32"/>
          <w:szCs w:val="32"/>
          <w:shd w:val="clear" w:fill="FFFFFF"/>
        </w:rPr>
      </w:pPr>
      <w:r>
        <w:rPr>
          <w:rFonts w:hint="eastAsia" w:ascii="方正仿宋_GBK" w:hAnsi="微软雅黑" w:eastAsia="方正仿宋_GBK"/>
          <w:color w:val="auto"/>
          <w:sz w:val="32"/>
          <w:szCs w:val="32"/>
          <w:shd w:val="clear" w:color="auto" w:fill="FFFFFF"/>
        </w:rPr>
        <w:t>根据预算绩效管理要求，我委对部门整体和</w:t>
      </w:r>
      <w:r>
        <w:rPr>
          <w:rFonts w:hint="eastAsia" w:ascii="方正仿宋_GBK" w:hAnsi="微软雅黑" w:eastAsia="方正仿宋_GBK"/>
          <w:color w:val="auto"/>
          <w:sz w:val="32"/>
          <w:szCs w:val="32"/>
          <w:shd w:val="clear" w:color="auto" w:fill="FFFFFF"/>
          <w:lang w:val="en-US" w:eastAsia="zh-CN"/>
        </w:rPr>
        <w:t>6</w:t>
      </w:r>
      <w:r>
        <w:rPr>
          <w:rFonts w:hint="eastAsia" w:ascii="方正仿宋_GBK" w:hAnsi="微软雅黑" w:eastAsia="方正仿宋_GBK"/>
          <w:color w:val="auto"/>
          <w:sz w:val="32"/>
          <w:szCs w:val="32"/>
          <w:shd w:val="clear" w:color="auto" w:fill="FFFFFF"/>
        </w:rPr>
        <w:t>个项目开展了绩效自评，其中，以填报自评表形式开展自评</w:t>
      </w:r>
      <w:r>
        <w:rPr>
          <w:rFonts w:hint="eastAsia" w:ascii="方正仿宋_GBK" w:hAnsi="微软雅黑" w:eastAsia="方正仿宋_GBK"/>
          <w:color w:val="auto"/>
          <w:sz w:val="32"/>
          <w:szCs w:val="32"/>
          <w:shd w:val="clear" w:color="auto" w:fill="FFFFFF"/>
          <w:lang w:val="en-US" w:eastAsia="zh-CN"/>
        </w:rPr>
        <w:t>6</w:t>
      </w:r>
      <w:r>
        <w:rPr>
          <w:rFonts w:hint="eastAsia" w:ascii="方正仿宋_GBK" w:hAnsi="微软雅黑" w:eastAsia="方正仿宋_GBK"/>
          <w:color w:val="auto"/>
          <w:sz w:val="32"/>
          <w:szCs w:val="32"/>
          <w:shd w:val="clear" w:color="auto" w:fill="FFFFFF"/>
        </w:rPr>
        <w:t>项，涉及资金135727万元；</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（二）绩效自评结果。</w:t>
      </w:r>
    </w:p>
    <w:p>
      <w:pPr>
        <w:pStyle w:val="2"/>
        <w:keepNext w:val="0"/>
        <w:keepLines w:val="0"/>
        <w:widowControl/>
        <w:suppressLineNumbers w:val="0"/>
        <w:ind w:left="0" w:right="75"/>
        <w:jc w:val="left"/>
        <w:rPr>
          <w:rStyle w:val="5"/>
          <w:color w:val="auto"/>
          <w:sz w:val="32"/>
          <w:szCs w:val="32"/>
          <w:shd w:val="clear" w:fill="FFFFFF"/>
        </w:rPr>
      </w:pPr>
      <w:r>
        <w:rPr>
          <w:rStyle w:val="5"/>
          <w:color w:val="auto"/>
          <w:sz w:val="32"/>
          <w:szCs w:val="32"/>
          <w:shd w:val="clear" w:fill="FFFFFF"/>
        </w:rPr>
        <w:t>1.绩效目标自评表。</w:t>
      </w:r>
    </w:p>
    <w:tbl>
      <w:tblPr>
        <w:tblStyle w:val="3"/>
        <w:tblW w:w="2251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876"/>
        <w:gridCol w:w="1876"/>
        <w:gridCol w:w="1876"/>
        <w:gridCol w:w="1876"/>
        <w:gridCol w:w="1876"/>
        <w:gridCol w:w="1876"/>
        <w:gridCol w:w="1876"/>
        <w:gridCol w:w="1876"/>
        <w:gridCol w:w="1876"/>
        <w:gridCol w:w="1876"/>
        <w:gridCol w:w="1876"/>
        <w:gridCol w:w="1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95" w:hRule="atLeast"/>
        </w:trPr>
        <w:tc>
          <w:tcPr>
            <w:tcW w:w="22512"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微软雅黑" w:hAnsi="微软雅黑" w:eastAsia="微软雅黑" w:cs="微软雅黑"/>
                <w:b/>
                <w:i w:val="0"/>
                <w:color w:val="auto"/>
                <w:sz w:val="32"/>
                <w:szCs w:val="32"/>
                <w:u w:val="none"/>
              </w:rPr>
            </w:pPr>
            <w:r>
              <w:rPr>
                <w:rFonts w:hint="eastAsia" w:ascii="微软雅黑" w:hAnsi="微软雅黑" w:eastAsia="微软雅黑" w:cs="微软雅黑"/>
                <w:b/>
                <w:i w:val="0"/>
                <w:color w:val="auto"/>
                <w:kern w:val="0"/>
                <w:sz w:val="32"/>
                <w:szCs w:val="32"/>
                <w:u w:val="none"/>
                <w:lang w:val="en-US" w:eastAsia="zh-CN" w:bidi="ar"/>
              </w:rPr>
              <w:t>2022年度二级项目绩效自评表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22512"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状态：部门审核已审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项目名称：</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海棠新城职业教育城①②③等项目</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项目编码：</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50011122T000002437452</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自评总分：</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100.00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b/>
                <w:i w:val="0"/>
                <w:color w:val="auto"/>
                <w:sz w:val="32"/>
                <w:szCs w:val="32"/>
                <w:u w:val="none"/>
              </w:rPr>
            </w:pP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项目主管部门：</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186-大足区海棠新城开发区管理委员会</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财政归口处室：</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007-经建科</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部门联系人：</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郑玲</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联系电话：</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19923984976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22512"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i w:val="0"/>
                <w:color w:val="auto"/>
                <w:sz w:val="32"/>
                <w:szCs w:val="32"/>
                <w:u w:val="none"/>
              </w:rPr>
            </w:pPr>
            <w:r>
              <w:rPr>
                <w:rFonts w:hint="eastAsia" w:ascii="微软雅黑" w:hAnsi="微软雅黑" w:eastAsia="微软雅黑" w:cs="微软雅黑"/>
                <w:b/>
                <w:i w:val="0"/>
                <w:color w:val="auto"/>
                <w:kern w:val="0"/>
                <w:sz w:val="32"/>
                <w:szCs w:val="32"/>
                <w:u w:val="none"/>
                <w:lang w:val="en-US" w:eastAsia="zh-CN" w:bidi="ar"/>
              </w:rPr>
              <w:t>资金情况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auto"/>
                <w:sz w:val="32"/>
                <w:szCs w:val="32"/>
                <w:u w:val="none"/>
              </w:rPr>
            </w:pP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年初预算数</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全年（调整）预算数</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全年执行数</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执行率</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执行率权重</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执行率得分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年度总金额</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 xml:space="preserve">0.00 </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 xml:space="preserve">602,091,500.00 </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 xml:space="preserve">602,091,500.00 </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32"/>
                <w:szCs w:val="32"/>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32"/>
                <w:szCs w:val="32"/>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auto"/>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其中：财政拨款</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 xml:space="preserve">0.00 </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 xml:space="preserve">602,091,500.00 </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 xml:space="preserve">602,091,500.00 </w:t>
            </w:r>
          </w:p>
        </w:tc>
        <w:tc>
          <w:tcPr>
            <w:tcW w:w="375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100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10.00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 xml:space="preserve">10.00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0" w:hRule="atLeast"/>
        </w:trPr>
        <w:tc>
          <w:tcPr>
            <w:tcW w:w="22512"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i w:val="0"/>
                <w:color w:val="auto"/>
                <w:sz w:val="32"/>
                <w:szCs w:val="32"/>
                <w:u w:val="none"/>
              </w:rPr>
            </w:pPr>
            <w:r>
              <w:rPr>
                <w:rFonts w:hint="eastAsia" w:ascii="微软雅黑" w:hAnsi="微软雅黑" w:eastAsia="微软雅黑" w:cs="微软雅黑"/>
                <w:b/>
                <w:i w:val="0"/>
                <w:color w:val="auto"/>
                <w:kern w:val="0"/>
                <w:sz w:val="32"/>
                <w:szCs w:val="32"/>
                <w:u w:val="none"/>
                <w:lang w:val="en-US" w:eastAsia="zh-CN" w:bidi="ar"/>
              </w:rPr>
              <w:t>绩效目标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75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年初绩效目标</w:t>
            </w:r>
          </w:p>
        </w:tc>
        <w:tc>
          <w:tcPr>
            <w:tcW w:w="75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全年（调整）绩效目标</w:t>
            </w:r>
          </w:p>
        </w:tc>
        <w:tc>
          <w:tcPr>
            <w:tcW w:w="75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全年目标实际完成情况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591" w:hRule="atLeast"/>
        </w:trPr>
        <w:tc>
          <w:tcPr>
            <w:tcW w:w="7504"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jc w:val="left"/>
              <w:rPr>
                <w:rFonts w:hint="eastAsia" w:ascii="宋体" w:hAnsi="宋体" w:eastAsia="宋体" w:cs="宋体"/>
                <w:i w:val="0"/>
                <w:color w:val="auto"/>
                <w:sz w:val="32"/>
                <w:szCs w:val="32"/>
                <w:u w:val="none"/>
              </w:rPr>
            </w:pPr>
          </w:p>
        </w:tc>
        <w:tc>
          <w:tcPr>
            <w:tcW w:w="7504"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加快职业教育城建设进度，完善新城配套设施，提升周边地价</w:t>
            </w:r>
          </w:p>
        </w:tc>
        <w:tc>
          <w:tcPr>
            <w:tcW w:w="7504" w:type="dxa"/>
            <w:gridSpan w:val="4"/>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left"/>
              <w:textAlignment w:val="top"/>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职业教育城①②③项目已完工并投入使用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0" w:hRule="atLeast"/>
        </w:trPr>
        <w:tc>
          <w:tcPr>
            <w:tcW w:w="22512"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i w:val="0"/>
                <w:color w:val="auto"/>
                <w:sz w:val="32"/>
                <w:szCs w:val="32"/>
                <w:u w:val="none"/>
              </w:rPr>
            </w:pPr>
            <w:r>
              <w:rPr>
                <w:rFonts w:hint="eastAsia" w:ascii="微软雅黑" w:hAnsi="微软雅黑" w:eastAsia="微软雅黑" w:cs="微软雅黑"/>
                <w:b/>
                <w:i w:val="0"/>
                <w:color w:val="auto"/>
                <w:kern w:val="0"/>
                <w:sz w:val="32"/>
                <w:szCs w:val="32"/>
                <w:u w:val="none"/>
                <w:lang w:val="en-US" w:eastAsia="zh-CN" w:bidi="ar"/>
              </w:rPr>
              <w:t>绩效指标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指标名称</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计量单位</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指标性质</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指标值</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全年完成值</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偏离度（%）</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得分系数（%）</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指标权重</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指标得分</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是否核心指标</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说明</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auto"/>
                <w:sz w:val="32"/>
                <w:szCs w:val="32"/>
                <w:u w:val="none"/>
              </w:rPr>
            </w:pPr>
            <w:r>
              <w:rPr>
                <w:rFonts w:hint="eastAsia" w:ascii="宋体" w:hAnsi="宋体" w:eastAsia="宋体" w:cs="宋体"/>
                <w:b/>
                <w:i w:val="0"/>
                <w:color w:val="auto"/>
                <w:kern w:val="0"/>
                <w:sz w:val="32"/>
                <w:szCs w:val="32"/>
                <w:u w:val="none"/>
                <w:lang w:val="en-US" w:eastAsia="zh-CN" w:bidi="ar"/>
              </w:rPr>
              <w:t>市财政局建议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完成职业教育城</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所</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3</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3</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100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60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60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32"/>
                <w:szCs w:val="32"/>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32"/>
                <w:szCs w:val="32"/>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提高民众满意度</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95</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95</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100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20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20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32"/>
                <w:szCs w:val="32"/>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32"/>
                <w:szCs w:val="32"/>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加快职业教育城建设进度，完善新城配套设施，提升周边地价</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所</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lef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95</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95</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100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10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firstLineChars="100"/>
              <w:jc w:val="right"/>
              <w:textAlignment w:val="center"/>
              <w:rPr>
                <w:rFonts w:hint="eastAsia" w:ascii="宋体" w:hAnsi="宋体" w:eastAsia="宋体" w:cs="宋体"/>
                <w:i w:val="0"/>
                <w:color w:val="auto"/>
                <w:sz w:val="32"/>
                <w:szCs w:val="32"/>
                <w:u w:val="none"/>
              </w:rPr>
            </w:pPr>
            <w:r>
              <w:rPr>
                <w:rFonts w:hint="eastAsia" w:ascii="宋体" w:hAnsi="宋体" w:eastAsia="宋体" w:cs="宋体"/>
                <w:i w:val="0"/>
                <w:color w:val="auto"/>
                <w:kern w:val="0"/>
                <w:sz w:val="32"/>
                <w:szCs w:val="32"/>
                <w:u w:val="none"/>
                <w:lang w:val="en-US" w:eastAsia="zh-CN" w:bidi="ar"/>
              </w:rPr>
              <w:t>10</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32"/>
                <w:szCs w:val="32"/>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32"/>
                <w:szCs w:val="32"/>
                <w:u w:val="none"/>
              </w:rPr>
            </w:pP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auto"/>
                <w:sz w:val="32"/>
                <w:szCs w:val="32"/>
                <w:u w:val="none"/>
              </w:rPr>
            </w:pPr>
          </w:p>
        </w:tc>
      </w:tr>
    </w:tbl>
    <w:p>
      <w:pPr>
        <w:pStyle w:val="2"/>
        <w:keepNext w:val="0"/>
        <w:keepLines w:val="0"/>
        <w:widowControl/>
        <w:suppressLineNumbers w:val="0"/>
        <w:ind w:left="0" w:right="75"/>
        <w:jc w:val="left"/>
        <w:rPr>
          <w:rStyle w:val="5"/>
          <w:color w:val="auto"/>
          <w:sz w:val="32"/>
          <w:szCs w:val="32"/>
          <w:shd w:val="clear" w:fill="FFFFFF"/>
        </w:rPr>
      </w:pPr>
    </w:p>
    <w:p>
      <w:pPr>
        <w:pStyle w:val="2"/>
        <w:keepNext w:val="0"/>
        <w:keepLines w:val="0"/>
        <w:widowControl/>
        <w:suppressLineNumbers w:val="0"/>
        <w:ind w:left="0" w:right="75"/>
        <w:jc w:val="left"/>
        <w:rPr>
          <w:rStyle w:val="5"/>
          <w:color w:val="auto"/>
          <w:sz w:val="32"/>
          <w:szCs w:val="32"/>
          <w:shd w:val="clear" w:fill="FFFFFF"/>
        </w:rPr>
      </w:pP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2.绩效自评报告或案例。</w:t>
      </w:r>
    </w:p>
    <w:p>
      <w:pPr>
        <w:pStyle w:val="2"/>
        <w:shd w:val="clear" w:color="auto" w:fill="FFFFFF"/>
        <w:spacing w:before="0" w:beforeAutospacing="0" w:line="720" w:lineRule="atLeast"/>
        <w:ind w:firstLine="540"/>
        <w:jc w:val="both"/>
        <w:rPr>
          <w:rFonts w:hint="eastAsia" w:ascii="微软雅黑" w:hAnsi="微软雅黑" w:eastAsia="微软雅黑"/>
          <w:color w:val="auto"/>
          <w:sz w:val="32"/>
          <w:szCs w:val="32"/>
        </w:rPr>
      </w:pPr>
      <w:r>
        <w:rPr>
          <w:rFonts w:hint="eastAsia" w:ascii="方正仿宋_GBK" w:hAnsi="微软雅黑" w:eastAsia="方正仿宋_GBK"/>
          <w:color w:val="auto"/>
          <w:sz w:val="32"/>
          <w:szCs w:val="32"/>
          <w:shd w:val="clear" w:color="auto" w:fill="FFFFFF"/>
        </w:rPr>
        <w:t>从评价情况来看， 首先，海棠新城管委会重视预算绩效，并逐步完成预算编制、评估等机制。同时也重视预算绩效的评估结果，将其作为管委会年度考核重要依据。另外，海棠新城管委会一直将预算绩效机制的可靠性和权威性作为年度预算的核心内容，从而发挥出预算绩效的潜在价值，在预算管理上实行了“统一预算、本级管理”的方针。自202</w:t>
      </w:r>
      <w:r>
        <w:rPr>
          <w:rFonts w:hint="eastAsia" w:ascii="方正仿宋_GBK" w:hAnsi="微软雅黑" w:eastAsia="方正仿宋_GBK"/>
          <w:color w:val="auto"/>
          <w:sz w:val="32"/>
          <w:szCs w:val="32"/>
          <w:shd w:val="clear" w:color="auto" w:fill="FFFFFF"/>
          <w:lang w:val="en-US" w:eastAsia="zh-CN"/>
        </w:rPr>
        <w:t>2</w:t>
      </w:r>
      <w:r>
        <w:rPr>
          <w:rFonts w:hint="eastAsia" w:ascii="方正仿宋_GBK" w:hAnsi="微软雅黑" w:eastAsia="方正仿宋_GBK"/>
          <w:color w:val="auto"/>
          <w:sz w:val="32"/>
          <w:szCs w:val="32"/>
          <w:shd w:val="clear" w:color="auto" w:fill="FFFFFF"/>
        </w:rPr>
        <w:t>年以来，我委对</w:t>
      </w:r>
      <w:r>
        <w:rPr>
          <w:rFonts w:hint="eastAsia"/>
          <w:color w:val="auto"/>
          <w:sz w:val="32"/>
          <w:szCs w:val="32"/>
          <w:shd w:val="clear" w:fill="FFFFFF"/>
        </w:rPr>
        <w:t>天宫河片区开发项目</w:t>
      </w:r>
      <w:r>
        <w:rPr>
          <w:rFonts w:hint="eastAsia"/>
          <w:color w:val="auto"/>
          <w:sz w:val="32"/>
          <w:szCs w:val="32"/>
          <w:shd w:val="clear" w:fill="FFFFFF"/>
          <w:lang w:eastAsia="zh-CN"/>
        </w:rPr>
        <w:t>，</w:t>
      </w:r>
      <w:r>
        <w:rPr>
          <w:rFonts w:hint="eastAsia"/>
          <w:color w:val="auto"/>
          <w:sz w:val="32"/>
          <w:szCs w:val="32"/>
          <w:shd w:val="clear" w:fill="FFFFFF"/>
        </w:rPr>
        <w:t xml:space="preserve"> 海棠新城职业教育城①②③④项目</w:t>
      </w:r>
      <w:r>
        <w:rPr>
          <w:rFonts w:hint="eastAsia"/>
          <w:color w:val="auto"/>
          <w:sz w:val="32"/>
          <w:szCs w:val="32"/>
          <w:shd w:val="clear" w:fill="FFFFFF"/>
          <w:lang w:eastAsia="zh-CN"/>
        </w:rPr>
        <w:t>，</w:t>
      </w:r>
      <w:r>
        <w:rPr>
          <w:rFonts w:hint="eastAsia"/>
          <w:color w:val="auto"/>
          <w:sz w:val="32"/>
          <w:szCs w:val="32"/>
          <w:shd w:val="clear" w:fill="FFFFFF"/>
        </w:rPr>
        <w:t xml:space="preserve"> 大足区学前教育及职业教育提升改造工程</w:t>
      </w:r>
      <w:r>
        <w:rPr>
          <w:rFonts w:hint="eastAsia" w:ascii="方正仿宋_GBK" w:hAnsi="微软雅黑" w:eastAsia="方正仿宋_GBK"/>
          <w:color w:val="auto"/>
          <w:sz w:val="32"/>
          <w:szCs w:val="32"/>
          <w:shd w:val="clear" w:color="auto" w:fill="FFFFFF"/>
        </w:rPr>
        <w:t>整体社会效益及满意度等各项指标调查，基本情况是服务对象对实施满意度达较高。基础设施建设对社会效益和经济效益明显，达到了预期效果。</w:t>
      </w:r>
    </w:p>
    <w:p>
      <w:pPr>
        <w:pStyle w:val="2"/>
        <w:keepNext w:val="0"/>
        <w:keepLines w:val="0"/>
        <w:widowControl/>
        <w:numPr>
          <w:ilvl w:val="0"/>
          <w:numId w:val="2"/>
        </w:numPr>
        <w:suppressLineNumbers w:val="0"/>
        <w:ind w:left="0" w:right="75"/>
        <w:jc w:val="left"/>
        <w:rPr>
          <w:rStyle w:val="5"/>
          <w:color w:val="auto"/>
          <w:sz w:val="32"/>
          <w:szCs w:val="32"/>
          <w:shd w:val="clear" w:fill="FFFFFF"/>
        </w:rPr>
      </w:pPr>
      <w:r>
        <w:rPr>
          <w:rStyle w:val="5"/>
          <w:color w:val="auto"/>
          <w:sz w:val="32"/>
          <w:szCs w:val="32"/>
          <w:shd w:val="clear" w:fill="FFFFFF"/>
        </w:rPr>
        <w:t>关于绩效自评结果的说明。</w:t>
      </w:r>
    </w:p>
    <w:p>
      <w:pPr>
        <w:pStyle w:val="2"/>
        <w:keepNext w:val="0"/>
        <w:keepLines w:val="0"/>
        <w:widowControl/>
        <w:suppressLineNumbers w:val="0"/>
        <w:ind w:left="0" w:right="75"/>
        <w:jc w:val="left"/>
        <w:rPr>
          <w:rFonts w:hint="eastAsia" w:ascii="方正仿宋_GBK" w:eastAsia="方正仿宋_GBK"/>
          <w:color w:val="auto"/>
          <w:sz w:val="32"/>
          <w:szCs w:val="32"/>
          <w:shd w:val="clear" w:color="auto" w:fill="FFFFFF"/>
        </w:rPr>
      </w:pPr>
      <w:r>
        <w:rPr>
          <w:rFonts w:hint="eastAsia" w:ascii="方正仿宋_GBK" w:eastAsia="方正仿宋_GBK"/>
          <w:color w:val="auto"/>
          <w:sz w:val="32"/>
          <w:szCs w:val="32"/>
          <w:shd w:val="clear" w:color="auto" w:fill="FFFFFF"/>
        </w:rPr>
        <w:t>我委暂无未完成年度绩效目标的项目</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（三）重点绩效评价结果。</w:t>
      </w:r>
    </w:p>
    <w:p>
      <w:pPr>
        <w:pStyle w:val="2"/>
        <w:keepNext w:val="0"/>
        <w:keepLines w:val="0"/>
        <w:widowControl/>
        <w:suppressLineNumbers w:val="0"/>
        <w:ind w:left="0" w:right="75"/>
        <w:jc w:val="left"/>
        <w:rPr>
          <w:rFonts w:hint="eastAsia" w:ascii="方正仿宋_GBK" w:eastAsia="方正仿宋_GBK"/>
          <w:color w:val="auto"/>
          <w:sz w:val="32"/>
          <w:szCs w:val="32"/>
          <w:shd w:val="clear" w:color="auto" w:fill="FFFFFF"/>
        </w:rPr>
      </w:pPr>
      <w:r>
        <w:rPr>
          <w:rFonts w:hint="eastAsia" w:ascii="方正仿宋_GBK" w:eastAsia="方正仿宋_GBK"/>
          <w:color w:val="auto"/>
          <w:sz w:val="32"/>
          <w:szCs w:val="32"/>
          <w:shd w:val="clear" w:color="auto" w:fill="FFFFFF"/>
        </w:rPr>
        <w:t> 我委未委托第三方开展绩效评价</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六、专业名词解释</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（一）财政拨款收入</w:t>
      </w:r>
      <w:r>
        <w:rPr>
          <w:color w:val="auto"/>
          <w:sz w:val="32"/>
          <w:szCs w:val="32"/>
          <w:shd w:val="clear" w:fill="FFFFFF"/>
        </w:rPr>
        <w:t>：指本年度从本级财政部门取得的财政拨款，包括一般公共预算财政拨款和政府性基金预算财政拨款。</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（二）事业收入</w:t>
      </w:r>
      <w:r>
        <w:rPr>
          <w:color w:val="auto"/>
          <w:sz w:val="32"/>
          <w:szCs w:val="32"/>
          <w:shd w:val="clear" w:fill="FFFFFF"/>
        </w:rPr>
        <w:t>：指事业单位开展专业业务活动及其辅助活动取得的现金流入；事业单位收到的财政专户实际核拨的教育收费等资金在此反映。</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（三）经营收入</w:t>
      </w:r>
      <w:r>
        <w:rPr>
          <w:color w:val="auto"/>
          <w:sz w:val="32"/>
          <w:szCs w:val="32"/>
          <w:shd w:val="clear" w:fill="FFFFFF"/>
        </w:rPr>
        <w:t>：指事业单位在专业业务活动及其辅助活动之外开展非独立核算经营活动取得的现金流入。</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（四）其他收入</w:t>
      </w:r>
      <w:r>
        <w:rPr>
          <w:color w:val="auto"/>
          <w:sz w:val="32"/>
          <w:szCs w:val="32"/>
          <w:shd w:val="clear" w:fill="FFFFFF"/>
        </w:rPr>
        <w:t>：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（五）使用非财政拨款结余</w:t>
      </w:r>
      <w:r>
        <w:rPr>
          <w:color w:val="auto"/>
          <w:sz w:val="32"/>
          <w:szCs w:val="32"/>
          <w:shd w:val="clear" w:fill="FFFFFF"/>
        </w:rPr>
        <w:t>：指单位在当年的“财政拨款收入”、“事业收入”、“经营收入”、“其他收入”等不足以安排当年支出的情况下，使用以前年度积累的非财政拨款结余弥补本年度收支缺口的资金。</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（六）年初结转和结余</w:t>
      </w:r>
      <w:r>
        <w:rPr>
          <w:color w:val="auto"/>
          <w:sz w:val="32"/>
          <w:szCs w:val="32"/>
          <w:shd w:val="clear" w:fill="FFFFFF"/>
        </w:rPr>
        <w:t>：指单位上年结转本年使用的基本支出结转、项目支出结转和结余、经营结余。</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（七）结余分配</w:t>
      </w:r>
      <w:r>
        <w:rPr>
          <w:color w:val="auto"/>
          <w:sz w:val="32"/>
          <w:szCs w:val="32"/>
          <w:shd w:val="clear" w:fill="FFFFFF"/>
        </w:rPr>
        <w:t>：指单位按照国家有关规定，缴纳所得税、提取专用基金、转入非财政拨款结余等当年结余的分配情况。</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（八）年末结转和结余</w:t>
      </w:r>
      <w:r>
        <w:rPr>
          <w:color w:val="auto"/>
          <w:sz w:val="32"/>
          <w:szCs w:val="32"/>
          <w:shd w:val="clear" w:fill="FFFFFF"/>
        </w:rPr>
        <w:t>：指单位结转下年的基本支出结转、项目支出结转和结余、经营结余。</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（九）基本支出</w:t>
      </w:r>
      <w:r>
        <w:rPr>
          <w:color w:val="auto"/>
          <w:sz w:val="32"/>
          <w:szCs w:val="32"/>
          <w:shd w:val="clear"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（十）项目支出</w:t>
      </w:r>
      <w:r>
        <w:rPr>
          <w:color w:val="auto"/>
          <w:sz w:val="32"/>
          <w:szCs w:val="32"/>
          <w:shd w:val="clear" w:fill="FFFFFF"/>
        </w:rPr>
        <w:t>：指在基本支出之外为完成特定行政任务和事业发展目标所发生的支出。</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（十一）经营支出</w:t>
      </w:r>
      <w:r>
        <w:rPr>
          <w:color w:val="auto"/>
          <w:sz w:val="32"/>
          <w:szCs w:val="32"/>
          <w:shd w:val="clear" w:fill="FFFFFF"/>
        </w:rPr>
        <w:t>：指事业单位在专业业务活动及其辅助活动之外开展非独立核算经营活动发生的支出。</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（十二）“三公”经费</w:t>
      </w:r>
      <w:r>
        <w:rPr>
          <w:color w:val="auto"/>
          <w:sz w:val="32"/>
          <w:szCs w:val="32"/>
          <w:shd w:val="clear" w:fill="FFFFFF"/>
        </w:rPr>
        <w:t>：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（十三）机关运行经费</w:t>
      </w:r>
      <w:r>
        <w:rPr>
          <w:color w:val="auto"/>
          <w:sz w:val="32"/>
          <w:szCs w:val="32"/>
          <w:shd w:val="clear"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（十四）工资福利支出（支出经济分类科目类级）</w:t>
      </w:r>
      <w:r>
        <w:rPr>
          <w:color w:val="auto"/>
          <w:sz w:val="32"/>
          <w:szCs w:val="32"/>
          <w:shd w:val="clear" w:fill="FFFFFF"/>
        </w:rPr>
        <w:t>：反映单位开支的在职职工和编制外长期聘用人员的各类劳动报酬，以及为上述人员缴纳的各项社会保险费等。</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（十五）商品和服务支出（支出经济分类科目类级）</w:t>
      </w:r>
      <w:r>
        <w:rPr>
          <w:color w:val="auto"/>
          <w:sz w:val="32"/>
          <w:szCs w:val="32"/>
          <w:shd w:val="clear" w:fill="FFFFFF"/>
        </w:rPr>
        <w:t>：反映单位购买商品和服务的支出（不包括用于购置固定资产的支出、战略性和应急储备支出）。</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（十六）对个人和家庭的补助（支出经济分类科目类级）</w:t>
      </w:r>
      <w:r>
        <w:rPr>
          <w:color w:val="auto"/>
          <w:sz w:val="32"/>
          <w:szCs w:val="32"/>
          <w:shd w:val="clear" w:fill="FFFFFF"/>
        </w:rPr>
        <w:t>：反映用于对个人和家庭的补助支出。</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（十七）其他资本性支出（支出经济分类科目类级）</w:t>
      </w:r>
      <w:r>
        <w:rPr>
          <w:color w:val="auto"/>
          <w:sz w:val="32"/>
          <w:szCs w:val="32"/>
          <w:shd w:val="clear" w:fill="FFFFFF"/>
        </w:rPr>
        <w:t>：反映非各级发展与改革部门集中安排的用于购置固定资产、战略性和应急性储备、土地和无形资产，以及构建基础设施、大型修缮和财政支持企业更新改造所发生的支出。</w:t>
      </w:r>
    </w:p>
    <w:p>
      <w:pPr>
        <w:pStyle w:val="2"/>
        <w:keepNext w:val="0"/>
        <w:keepLines w:val="0"/>
        <w:widowControl/>
        <w:suppressLineNumbers w:val="0"/>
        <w:ind w:left="0" w:right="75"/>
        <w:jc w:val="left"/>
        <w:rPr>
          <w:color w:val="auto"/>
          <w:sz w:val="32"/>
          <w:szCs w:val="32"/>
        </w:rPr>
      </w:pPr>
      <w:r>
        <w:rPr>
          <w:rStyle w:val="5"/>
          <w:color w:val="auto"/>
          <w:sz w:val="32"/>
          <w:szCs w:val="32"/>
          <w:shd w:val="clear" w:fill="FFFFFF"/>
        </w:rPr>
        <w:t>七、决算公开联系方式及信息反馈渠道</w:t>
      </w:r>
    </w:p>
    <w:p>
      <w:pPr>
        <w:pStyle w:val="2"/>
        <w:keepNext w:val="0"/>
        <w:keepLines w:val="0"/>
        <w:widowControl/>
        <w:suppressLineNumbers w:val="0"/>
        <w:ind w:left="0" w:right="75"/>
        <w:jc w:val="left"/>
        <w:rPr>
          <w:color w:val="auto"/>
          <w:sz w:val="32"/>
          <w:szCs w:val="32"/>
        </w:rPr>
      </w:pPr>
      <w:r>
        <w:rPr>
          <w:color w:val="auto"/>
          <w:sz w:val="32"/>
          <w:szCs w:val="32"/>
          <w:shd w:val="clear" w:fill="FFFFFF"/>
        </w:rPr>
        <w:t>本单位决算公开信息反馈和联系方式：</w:t>
      </w:r>
    </w:p>
    <w:p>
      <w:pPr>
        <w:pStyle w:val="2"/>
        <w:keepNext w:val="0"/>
        <w:keepLines w:val="0"/>
        <w:widowControl/>
        <w:suppressLineNumbers w:val="0"/>
        <w:ind w:left="0" w:right="75"/>
        <w:jc w:val="left"/>
        <w:rPr>
          <w:color w:val="auto"/>
          <w:sz w:val="32"/>
          <w:szCs w:val="32"/>
        </w:rPr>
      </w:pPr>
      <w:bookmarkStart w:id="6" w:name="OLE_LINK4"/>
      <w:r>
        <w:rPr>
          <w:rFonts w:hint="eastAsia"/>
          <w:color w:val="auto"/>
          <w:sz w:val="32"/>
          <w:szCs w:val="32"/>
          <w:shd w:val="clear" w:fill="FFFFFF"/>
          <w:lang w:val="en-US" w:eastAsia="zh-CN"/>
        </w:rPr>
        <w:t>联系人：龙云   联系方式：</w:t>
      </w:r>
      <w:r>
        <w:rPr>
          <w:color w:val="auto"/>
          <w:sz w:val="32"/>
          <w:szCs w:val="32"/>
          <w:shd w:val="clear" w:fill="FFFFFF"/>
        </w:rPr>
        <w:t>   023-</w:t>
      </w:r>
      <w:r>
        <w:rPr>
          <w:rFonts w:hint="eastAsia"/>
          <w:color w:val="auto"/>
          <w:sz w:val="32"/>
          <w:szCs w:val="32"/>
          <w:shd w:val="clear" w:fill="FFFFFF"/>
          <w:lang w:val="en-US" w:eastAsia="zh-CN"/>
        </w:rPr>
        <w:t>43785289</w:t>
      </w:r>
    </w:p>
    <w:bookmarkEnd w:id="6"/>
    <w:p>
      <w:pPr>
        <w:rPr>
          <w:color w:val="auto"/>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仿宋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819D0C"/>
    <w:multiLevelType w:val="singleLevel"/>
    <w:tmpl w:val="8C819D0C"/>
    <w:lvl w:ilvl="0" w:tentative="0">
      <w:start w:val="3"/>
      <w:numFmt w:val="decimal"/>
      <w:lvlText w:val="%1."/>
      <w:lvlJc w:val="left"/>
      <w:pPr>
        <w:tabs>
          <w:tab w:val="left" w:pos="312"/>
        </w:tabs>
      </w:pPr>
    </w:lvl>
  </w:abstractNum>
  <w:abstractNum w:abstractNumId="1">
    <w:nsid w:val="E84C0B63"/>
    <w:multiLevelType w:val="singleLevel"/>
    <w:tmpl w:val="E84C0B63"/>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0ZDFhYjAwNjUwZTU5MDhlZTk5NGI2YmIyMzMyYjAifQ=="/>
  </w:docVars>
  <w:rsids>
    <w:rsidRoot w:val="48252D0A"/>
    <w:rsid w:val="00786EC6"/>
    <w:rsid w:val="00D53E9D"/>
    <w:rsid w:val="01B22C04"/>
    <w:rsid w:val="02122AF2"/>
    <w:rsid w:val="05897874"/>
    <w:rsid w:val="06F93D7C"/>
    <w:rsid w:val="09DE74D4"/>
    <w:rsid w:val="0D53583C"/>
    <w:rsid w:val="0E093783"/>
    <w:rsid w:val="0E3441D8"/>
    <w:rsid w:val="0E653D9C"/>
    <w:rsid w:val="110C4A3A"/>
    <w:rsid w:val="12356DB4"/>
    <w:rsid w:val="131A6E25"/>
    <w:rsid w:val="142B25FE"/>
    <w:rsid w:val="16DB0411"/>
    <w:rsid w:val="17623FAE"/>
    <w:rsid w:val="17E84923"/>
    <w:rsid w:val="196943C3"/>
    <w:rsid w:val="19A165C0"/>
    <w:rsid w:val="1A847FA0"/>
    <w:rsid w:val="1C975CB8"/>
    <w:rsid w:val="1D8866C8"/>
    <w:rsid w:val="218F44E5"/>
    <w:rsid w:val="22177ED8"/>
    <w:rsid w:val="24140EE1"/>
    <w:rsid w:val="243702B6"/>
    <w:rsid w:val="259E09A7"/>
    <w:rsid w:val="2C7B68E4"/>
    <w:rsid w:val="329102D4"/>
    <w:rsid w:val="34B06CDA"/>
    <w:rsid w:val="357B5997"/>
    <w:rsid w:val="36EA114B"/>
    <w:rsid w:val="37BA5B12"/>
    <w:rsid w:val="39B602BF"/>
    <w:rsid w:val="3CD90E81"/>
    <w:rsid w:val="3D02545B"/>
    <w:rsid w:val="3DF93B58"/>
    <w:rsid w:val="410E3825"/>
    <w:rsid w:val="43C561A7"/>
    <w:rsid w:val="44583D36"/>
    <w:rsid w:val="455C78BE"/>
    <w:rsid w:val="457F480F"/>
    <w:rsid w:val="461E5AF2"/>
    <w:rsid w:val="47EC3F3D"/>
    <w:rsid w:val="48252D0A"/>
    <w:rsid w:val="48C74CE4"/>
    <w:rsid w:val="49851A49"/>
    <w:rsid w:val="4B5B28B5"/>
    <w:rsid w:val="4B62591B"/>
    <w:rsid w:val="4BEC0C8E"/>
    <w:rsid w:val="4EEC48F0"/>
    <w:rsid w:val="4F1F1157"/>
    <w:rsid w:val="4F4D2D4D"/>
    <w:rsid w:val="4FA11DCD"/>
    <w:rsid w:val="4FFA085F"/>
    <w:rsid w:val="5303520B"/>
    <w:rsid w:val="53772483"/>
    <w:rsid w:val="5572480C"/>
    <w:rsid w:val="565A3355"/>
    <w:rsid w:val="58FD45C6"/>
    <w:rsid w:val="5B957597"/>
    <w:rsid w:val="5C31286D"/>
    <w:rsid w:val="5F5C2993"/>
    <w:rsid w:val="5F742AAC"/>
    <w:rsid w:val="5FC7064D"/>
    <w:rsid w:val="5FFD0FF0"/>
    <w:rsid w:val="61EC3F69"/>
    <w:rsid w:val="6290714F"/>
    <w:rsid w:val="65096A22"/>
    <w:rsid w:val="65730DE0"/>
    <w:rsid w:val="66036FD6"/>
    <w:rsid w:val="66DD4F9F"/>
    <w:rsid w:val="6C006C2F"/>
    <w:rsid w:val="6C7A5565"/>
    <w:rsid w:val="6E501E08"/>
    <w:rsid w:val="6F710E66"/>
    <w:rsid w:val="6FE17F35"/>
    <w:rsid w:val="739707DF"/>
    <w:rsid w:val="78B101CF"/>
    <w:rsid w:val="7AA75719"/>
    <w:rsid w:val="7B1F3C75"/>
    <w:rsid w:val="7D2376F0"/>
    <w:rsid w:val="7D5F0B61"/>
    <w:rsid w:val="7DDA2350"/>
    <w:rsid w:val="7E317758"/>
    <w:rsid w:val="7F4A0C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qFormat/>
    <w:uiPriority w:val="0"/>
    <w:rPr>
      <w:color w:val="800080"/>
      <w:u w:val="none"/>
    </w:rPr>
  </w:style>
  <w:style w:type="character" w:styleId="7">
    <w:name w:val="HTML Definition"/>
    <w:basedOn w:val="4"/>
    <w:qFormat/>
    <w:uiPriority w:val="0"/>
  </w:style>
  <w:style w:type="character" w:styleId="8">
    <w:name w:val="HTML Variable"/>
    <w:basedOn w:val="4"/>
    <w:qFormat/>
    <w:uiPriority w:val="0"/>
  </w:style>
  <w:style w:type="character" w:styleId="9">
    <w:name w:val="HTML Code"/>
    <w:basedOn w:val="4"/>
    <w:qFormat/>
    <w:uiPriority w:val="0"/>
    <w:rPr>
      <w:rFonts w:ascii="Courier New" w:hAnsi="Courier New"/>
      <w:sz w:val="20"/>
    </w:rPr>
  </w:style>
  <w:style w:type="character" w:styleId="10">
    <w:name w:val="HTML Cite"/>
    <w:basedOn w:val="4"/>
    <w:qFormat/>
    <w:uiPriority w:val="0"/>
  </w:style>
  <w:style w:type="character" w:customStyle="1" w:styleId="11">
    <w:name w:val="button-hover"/>
    <w:basedOn w:val="4"/>
    <w:qFormat/>
    <w:uiPriority w:val="0"/>
  </w:style>
  <w:style w:type="character" w:customStyle="1" w:styleId="12">
    <w:name w:val="button-hover1"/>
    <w:basedOn w:val="4"/>
    <w:qFormat/>
    <w:uiPriority w:val="0"/>
  </w:style>
  <w:style w:type="character" w:customStyle="1" w:styleId="13">
    <w:name w:val="directchildrenspan"/>
    <w:basedOn w:val="4"/>
    <w:qFormat/>
    <w:uiPriority w:val="0"/>
  </w:style>
  <w:style w:type="character" w:customStyle="1" w:styleId="14">
    <w:name w:val="item-middle"/>
    <w:basedOn w:val="4"/>
    <w:qFormat/>
    <w:uiPriority w:val="0"/>
  </w:style>
  <w:style w:type="character" w:customStyle="1" w:styleId="15">
    <w:name w:val="image8"/>
    <w:basedOn w:val="4"/>
    <w:uiPriority w:val="0"/>
  </w:style>
  <w:style w:type="character" w:customStyle="1" w:styleId="16">
    <w:name w:val="image9"/>
    <w:basedOn w:val="4"/>
    <w:uiPriority w:val="0"/>
  </w:style>
  <w:style w:type="character" w:customStyle="1" w:styleId="17">
    <w:name w:val="image10"/>
    <w:basedOn w:val="4"/>
    <w:uiPriority w:val="0"/>
  </w:style>
  <w:style w:type="character" w:customStyle="1" w:styleId="18">
    <w:name w:val="clicked1"/>
    <w:basedOn w:val="4"/>
    <w:uiPriority w:val="0"/>
    <w:rPr>
      <w:color w:val="000000"/>
    </w:rPr>
  </w:style>
  <w:style w:type="character" w:customStyle="1" w:styleId="19">
    <w:name w:val="clicked2"/>
    <w:basedOn w:val="4"/>
    <w:uiPriority w:val="0"/>
  </w:style>
  <w:style w:type="character" w:customStyle="1" w:styleId="20">
    <w:name w:val="clicked3"/>
    <w:basedOn w:val="4"/>
    <w:uiPriority w:val="0"/>
  </w:style>
  <w:style w:type="character" w:customStyle="1" w:styleId="21">
    <w:name w:val="ui-state-default7"/>
    <w:basedOn w:val="4"/>
    <w:uiPriority w:val="0"/>
  </w:style>
  <w:style w:type="character" w:customStyle="1" w:styleId="22">
    <w:name w:val="ui-state-default8"/>
    <w:basedOn w:val="4"/>
    <w:uiPriority w:val="0"/>
  </w:style>
  <w:style w:type="character" w:customStyle="1" w:styleId="23">
    <w:name w:val="ui-state-hover19"/>
    <w:basedOn w:val="4"/>
    <w:uiPriority w:val="0"/>
  </w:style>
  <w:style w:type="character" w:customStyle="1" w:styleId="24">
    <w:name w:val="group"/>
    <w:basedOn w:val="4"/>
    <w:qFormat/>
    <w:uiPriority w:val="0"/>
  </w:style>
  <w:style w:type="character" w:customStyle="1" w:styleId="25">
    <w:name w:val="ui-state-active6"/>
    <w:basedOn w:val="4"/>
    <w:uiPriority w:val="0"/>
  </w:style>
  <w:style w:type="character" w:customStyle="1" w:styleId="26">
    <w:name w:val="imgspan"/>
    <w:basedOn w:val="4"/>
    <w:uiPriority w:val="0"/>
  </w:style>
  <w:style w:type="character" w:customStyle="1" w:styleId="27">
    <w:name w:val="ui-icon29"/>
    <w:basedOn w:val="4"/>
    <w:qFormat/>
    <w:uiPriority w:val="0"/>
  </w:style>
  <w:style w:type="character" w:customStyle="1" w:styleId="28">
    <w:name w:val="newstitle"/>
    <w:basedOn w:val="4"/>
    <w:qFormat/>
    <w:uiPriority w:val="0"/>
    <w:rPr>
      <w:b/>
      <w:color w:val="00000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2023-10-15T06:20:00Z</dcterms:created>
  <dc:creator>asus</dc:creator>
  <cp:lastModifiedBy>微信用户</cp:lastModifiedBy>
  <dcterms:modified xsi:type="dcterms:W3CDTF">2024-03-06T02:29:54Z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181969A424BF4B2D88FFD0BE82EB0C78_12</vt:lpwstr>
  </property>
</Properties>
</file>