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2023年，一般公共预算转移性支付收入418,819万元，其中：返还性收入22,123万元，一般性转移支付收入342,679万元，专项转移支付收入54,017万元；一般公共预算转移性支付支出99,950万元。政府性基金转移性支付收入17,393万元，政府性基金转移性支付支出7,734万元。国有资本经营预算无转移性支付收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2024年，一般公共预算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转移性支付收入250,981万元，其中：返还性收入22,123万元，一般性转移支付收入212,624万元，专项转移支付收入16,234万元；一般公共预算转移性支付支出82,322万元。政府性基金转移性支付收入5,039万元，政府性基金转移性支付支出2,095万元。国有资本经营预算转移性支付收入127万元，国有资本经营预算无转移性支付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454C2BCE"/>
    <w:rsid w:val="25C7582D"/>
    <w:rsid w:val="454C2BCE"/>
    <w:rsid w:val="7C07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2023-02-14T01:58:00Z</dcterms:created>
  <dc:creator>Administrator</dc:creator>
  <cp:lastModifiedBy>荼蘼</cp:lastModifiedBy>
  <dcterms:modified xsi:type="dcterms:W3CDTF">2024-02-18T08:31:13Z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25DE869AB01A4BB2801473C155FA6EB3</vt:lpwstr>
  </property>
</Properties>
</file>