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E03C6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</w:p>
    <w:p w14:paraId="6C9EDD3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</w:p>
    <w:p w14:paraId="62BA71F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重庆市大足区人民政府</w:t>
      </w:r>
    </w:p>
    <w:p w14:paraId="0D07E7F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关于落实生态保护红线、环境质量底线、</w:t>
      </w:r>
    </w:p>
    <w:p w14:paraId="3E5507F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资源利用上线制定生态环境准入清单实施</w:t>
      </w:r>
    </w:p>
    <w:p w14:paraId="2225BFDF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生态环境分区管控的实施意见</w:t>
      </w:r>
    </w:p>
    <w:p w14:paraId="67051F20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大足府发〔2020〕39号</w:t>
      </w:r>
    </w:p>
    <w:p w14:paraId="78944117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仿宋" w:hAnsi="仿宋" w:eastAsia="仿宋" w:cs="仿宋"/>
          <w:sz w:val="31"/>
          <w:szCs w:val="31"/>
        </w:rPr>
      </w:pPr>
    </w:p>
    <w:p w14:paraId="115C58B7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各镇街人民政府（办事处），区政府各部门，有关单位：</w:t>
      </w:r>
    </w:p>
    <w:p w14:paraId="2761BA81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为深入落实《重庆市人民政府关于落实生态保护红线、环境质量底线、资源利用上线制定生态环境准入清单实施生态环境分区管控的意见》（渝府发〔2020〕11号）精神，坚定贯彻“共抓大保护、不搞大开发”方针，推动长江经济带高质量发展，现结合大足区实际，就落实生态保护红线、环境质量底线、资源利用上线，制定生态环境准入清单（以下简称“三线一单”），实施生态环境分区管控，提出如下实施意见。</w:t>
      </w:r>
    </w:p>
    <w:p w14:paraId="64F063A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一、总体要求</w:t>
      </w:r>
    </w:p>
    <w:p w14:paraId="1A514E9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（一）指导思想。</w:t>
      </w:r>
    </w:p>
    <w:p w14:paraId="5784540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以习近平新时代中国特色社会主义思想为指导，全面贯彻党的十九大、十九届二中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sz w:val="32"/>
          <w:szCs w:val="32"/>
        </w:rPr>
        <w:t>三中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sz w:val="32"/>
          <w:szCs w:val="32"/>
        </w:rPr>
        <w:t>四中全会精神和中央经济工作会议精神，深化落实习近平总书记</w:t>
      </w:r>
      <w:bookmarkStart w:id="0" w:name="_GoBack"/>
      <w:bookmarkEnd w:id="0"/>
      <w:r>
        <w:rPr>
          <w:rFonts w:hint="eastAsia" w:ascii="Times New Roman" w:hAnsi="Times New Roman" w:eastAsia="仿宋" w:cs="仿宋"/>
          <w:sz w:val="32"/>
          <w:szCs w:val="32"/>
        </w:rPr>
        <w:t>对重庆提出的“两点”定位、“两地”“两高”目标、发挥“三个作用”和营造良好政治生态的重要指示要求，深学笃用习近平生态文明思想，打造成渝地区双城经济圈协同发展示范区，建立以“三线一单”为核心的生态环境分区管控体系，加快推动生态靓区建设、打造高品质宜居地。</w:t>
      </w:r>
    </w:p>
    <w:p w14:paraId="4383399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（二）基本原则。</w:t>
      </w:r>
    </w:p>
    <w:p w14:paraId="6C49F0F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坚持保护优先。落实生态保护红线、环境质量底线、资源利用上线硬约束，推动形成绿色发展方式和生活方式。</w:t>
      </w:r>
    </w:p>
    <w:p w14:paraId="3BF6C78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坚持分类施策。针对流域、区域、行业特点，聚焦问题和目标，实施生态环境分区管控。</w:t>
      </w:r>
    </w:p>
    <w:p w14:paraId="3FDA4BF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坚持稳中求进。坚持生态环境管控内容不突破、管理要求不降低，结合经济社会发展新形势和环境质量改善新要求，定期评估调整和动态更新。</w:t>
      </w:r>
    </w:p>
    <w:p w14:paraId="14DBF9D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（三）总体目标。</w:t>
      </w:r>
    </w:p>
    <w:p w14:paraId="1788508C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到2020年，生态环境质量总体改善，主要污染物排放总量大幅减少，环境风险得到有效管控，生态环境保护水平同全面建成小康社会目标相适应。</w:t>
      </w:r>
    </w:p>
    <w:p w14:paraId="34BD94A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到2025年，产业结构调整深入推进，绿色发展和绿色生活水平显著提升，生态环境质量持续改善，主要污染物排放量持续减少，生态系统稳定性进一步提升，环境治理体系和治理能力现代化水平明显提升。</w:t>
      </w:r>
    </w:p>
    <w:p w14:paraId="4F4F5671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到2035年，节约资源和保护生态环境的空间格局、产业结构、生产方式、生活方式总体形成，生态环境质量实现根本好转。</w:t>
      </w:r>
    </w:p>
    <w:p w14:paraId="3211AB17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到本世纪中叶，生态文明全面提升，实现生态环境治理体系和治理能力现代化。</w:t>
      </w:r>
    </w:p>
    <w:p w14:paraId="41B4A25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二、分区管控</w:t>
      </w:r>
    </w:p>
    <w:p w14:paraId="46F61A5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（一）环境管控单元划分。</w:t>
      </w:r>
    </w:p>
    <w:p w14:paraId="21C7766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环境管控单元包括优先保护单元、重点管控单元、一般管控单元三类。优先保护单元指以生态环境保护为主的区域，主要包括生态保护红线、集中式饮用水源保护区、自然保护地等生态功能重要区和生态环境敏感区。重点管控单元指涉及水、大气、土壤、自然资源等资源环境要素重点管控的区域，主要包括人口密集的城镇规划区和产业集聚的工业园区（工业集聚区）。一般管控单元指除优先保护单元和重点管控单元之外的其他区域，主要从产业调整或转移、生活和农业面源治理等方面落实生态环境保护基础性要求。</w:t>
      </w:r>
    </w:p>
    <w:p w14:paraId="4AD913E4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按优先保护、重点管控、一般管控三大类划分为20个环境管控单元。其中，优先保护单元12个，面积占比21.8%；重点管控单元4个，面积占比46.1%；一般管控单元4个，面积占比32.1%。</w:t>
      </w:r>
    </w:p>
    <w:p w14:paraId="4E12F72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（二）分区环境管控要求。</w:t>
      </w:r>
    </w:p>
    <w:p w14:paraId="609B2EF4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优先保护单元依法禁止或限制大规模、高强度的工业和城镇建设，在功能受损的优先保护单元优先开展生态保护修复活动，恢复生态系统服务功能。重点管控单元优化空间布局，不断提升资源利用效率，有针对性地加强污染物排放控制和环境风险防控，解决生态环境质量不达标、生态环境风险高等问题。一般管控单元主要落实生态环境保护基本要求。</w:t>
      </w:r>
    </w:p>
    <w:p w14:paraId="0109BC35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我区重点推进产业升级，优化工业区、商业区、居住区布局，优化水资源配置和排污口、取水口及饮用水水源地布局、推进生态保护及修复、强化污染物排放控制和环境风险防控。</w:t>
      </w:r>
    </w:p>
    <w:p w14:paraId="0E002AE2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三、工作要求</w:t>
      </w:r>
    </w:p>
    <w:p w14:paraId="68FF87F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（一）实施与应用。</w:t>
      </w:r>
    </w:p>
    <w:p w14:paraId="7E00740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执行市级总体管控要求，并细化落实全区及具体单元管控要求，相应管控要求数据上传至“三线一单”数据应用平台。</w:t>
      </w:r>
    </w:p>
    <w:p w14:paraId="5C5AE9D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区域资源开发、产业布局和结构调整、城镇建设、重大项目选址应将环境管控单元及生态环境准入清单作为重要依据，相关规划编制、产业政策制定应将“三线一单”要求作为重要依据，开展协调性分析，不断强化“三线一单”分区环境管控体系对国土空间规划、各专项规划的引导作用。</w:t>
      </w:r>
    </w:p>
    <w:p w14:paraId="19BB8EF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“三线一单”是精准推进污染防治、生态修复、环境风险防控的重要依据，应强化“三线一单”在生态、水、大气、土壤等要素环境管理中的应用，制定排污许可证及其他相关环境政策应落实生态环境分区管控要求。</w:t>
      </w:r>
    </w:p>
    <w:p w14:paraId="010D638B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区域、流域等产业发展应将“三线一单”提出的要求作为产业准入清单编制基础，具体管控单元的管控要求作为推动产业准入清单在具体区域、园区和单元落地的基础支撑。</w:t>
      </w:r>
    </w:p>
    <w:p w14:paraId="163D7D3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监管开发建设行为和生产活动时，应将“三线一单”作为重要依据。优先保护单元和重点管控单元应作为生态环境监管重点区域，生态环境分区管控要求应作为生态环境监管的重点内容。</w:t>
      </w:r>
    </w:p>
    <w:p w14:paraId="5A79FC2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（二）更新与调整。</w:t>
      </w:r>
    </w:p>
    <w:p w14:paraId="24AA85B4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市生态环境部门每5年组织开展全市“三线一单”实施情况评估，依据评估情况编制“三线一单”更新调整方案，大足区“三线一单”同步更新。5年内因国家与地方发展战略、生态保护红线、自然保护地和生态环境质量目标调整，大足区“三线一单”确需进行更新的，按程序报批。</w:t>
      </w:r>
    </w:p>
    <w:p w14:paraId="63EA366C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四、该文件自公布之日起施行。</w:t>
      </w:r>
    </w:p>
    <w:p w14:paraId="3AD0E914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 w14:paraId="056E9E6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附件：大足区环境管控单元统计表</w:t>
      </w:r>
    </w:p>
    <w:p w14:paraId="5D7615A1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 w14:paraId="2AB0FE06"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重庆市大足区人民政府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</w:p>
    <w:p w14:paraId="04B55C66"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2020年10月23日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</w:t>
      </w:r>
    </w:p>
    <w:p w14:paraId="13927DD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（此件主动公开）</w:t>
      </w:r>
    </w:p>
    <w:p w14:paraId="2F798426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仿宋" w:hAnsi="仿宋" w:eastAsia="仿宋" w:cs="仿宋"/>
          <w:sz w:val="31"/>
          <w:szCs w:val="31"/>
        </w:rPr>
      </w:pPr>
    </w:p>
    <w:p w14:paraId="0EAA840D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仿宋" w:hAnsi="仿宋" w:eastAsia="仿宋" w:cs="仿宋"/>
          <w:sz w:val="31"/>
          <w:szCs w:val="31"/>
        </w:rPr>
      </w:pPr>
    </w:p>
    <w:p w14:paraId="0E300172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2AABCB7F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7B97EBC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大足区环境管控单元统计表</w:t>
      </w:r>
    </w:p>
    <w:p w14:paraId="16617535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18"/>
          <w:szCs w:val="18"/>
        </w:rPr>
      </w:pPr>
    </w:p>
    <w:tbl>
      <w:tblPr>
        <w:tblStyle w:val="9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9"/>
        <w:gridCol w:w="342"/>
        <w:gridCol w:w="743"/>
        <w:gridCol w:w="7261"/>
      </w:tblGrid>
      <w:tr w14:paraId="52507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DB5EA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分类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3260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环境管控单元</w:t>
            </w:r>
          </w:p>
        </w:tc>
      </w:tr>
      <w:tr w14:paraId="5FE43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C10E5">
            <w:pPr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6619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个数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14B834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面积占比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B7DC2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单元名称</w:t>
            </w:r>
          </w:p>
        </w:tc>
      </w:tr>
      <w:tr w14:paraId="58CED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7F49F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优先保</w:t>
            </w:r>
          </w:p>
          <w:p w14:paraId="7A8DE69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护单元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9F4F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C4761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21.8%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C623D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重庆市大足区玉滩水库水源地、重庆市大足区宝顶镇化龙水库大足区自来水公司水源地、重庆市大足区中敖镇上游水库大足区自来水公司水源地、重庆市大足区龙岗街道濑溪河渝大水务公司西门水厂水源地、双桥经开区通桥街道龙水湖水库双桥经开区水务公司水源地、大足区西山桫椤县级自然保护区、重庆玉龙山国家森林公园、重庆市白云寨市级森林公园、重庆市宝林寺市级森林公园、重庆大足龙水湖湿地公园、大足区水土保持功能区、大足区一般生态空间-水土保持功能区</w:t>
            </w:r>
          </w:p>
        </w:tc>
      </w:tr>
      <w:tr w14:paraId="0D5F8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EA0DF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重点管控单元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0308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6BE38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46.1%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F3D83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濑溪河玉滩水库管控单元、太平河漫水桥管控单元、淮远河玉峡渡口管控单元、大足区城镇开发边界管控单元</w:t>
            </w:r>
          </w:p>
        </w:tc>
      </w:tr>
      <w:tr w14:paraId="4DEE1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064E9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一般管控单元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E8B0D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40A2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32.1%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CDA6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窟窿河宝兴管控单元、濑溪河化龙水库管控单元、濑溪河上游水库管控单元、珠溪河界牌管控单元</w:t>
            </w:r>
          </w:p>
        </w:tc>
      </w:tr>
    </w:tbl>
    <w:p w14:paraId="196BCF41">
      <w:pPr>
        <w:tabs>
          <w:tab w:val="left" w:pos="6115"/>
        </w:tabs>
        <w:bidi w:val="0"/>
        <w:jc w:val="left"/>
        <w:rPr>
          <w:rFonts w:hint="default" w:ascii="Times New Roman" w:hAnsi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A0E020"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1E10F5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1E10F5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0C60D330">
    <w:pPr>
      <w:pStyle w:val="7"/>
      <w:wordWrap w:val="0"/>
      <w:ind w:left="3786" w:leftChars="1803" w:firstLine="7398" w:firstLineChars="2312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大足区人民政府办公室发布     </w:t>
    </w:r>
  </w:p>
  <w:p w14:paraId="0DBEB461"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F60BA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30DA5844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zI2NmMxMjRmMzFlM2U0NTUzNzVmMjgxMjZiZTEifQ=="/>
  </w:docVars>
  <w:rsids>
    <w:rsidRoot w:val="00172A27"/>
    <w:rsid w:val="010333FC"/>
    <w:rsid w:val="01323A4C"/>
    <w:rsid w:val="015D7115"/>
    <w:rsid w:val="019E71BD"/>
    <w:rsid w:val="01D90D54"/>
    <w:rsid w:val="039C5442"/>
    <w:rsid w:val="03D63BD5"/>
    <w:rsid w:val="041C42DA"/>
    <w:rsid w:val="04B679C3"/>
    <w:rsid w:val="04D255BF"/>
    <w:rsid w:val="05F07036"/>
    <w:rsid w:val="066C0D03"/>
    <w:rsid w:val="06E00104"/>
    <w:rsid w:val="07DA1DB8"/>
    <w:rsid w:val="080F63D8"/>
    <w:rsid w:val="08230F8C"/>
    <w:rsid w:val="083D6D4F"/>
    <w:rsid w:val="09341458"/>
    <w:rsid w:val="098254C2"/>
    <w:rsid w:val="0A766EDE"/>
    <w:rsid w:val="0AD64BE8"/>
    <w:rsid w:val="0B0912D7"/>
    <w:rsid w:val="0B5C522B"/>
    <w:rsid w:val="0C9B1F9A"/>
    <w:rsid w:val="0E025194"/>
    <w:rsid w:val="0E73553D"/>
    <w:rsid w:val="105476D2"/>
    <w:rsid w:val="10BA677B"/>
    <w:rsid w:val="10E3678C"/>
    <w:rsid w:val="11520312"/>
    <w:rsid w:val="128637D7"/>
    <w:rsid w:val="12970528"/>
    <w:rsid w:val="152D2DCA"/>
    <w:rsid w:val="16FD7B4D"/>
    <w:rsid w:val="185F3E39"/>
    <w:rsid w:val="187168EA"/>
    <w:rsid w:val="196673CA"/>
    <w:rsid w:val="1B2F4AEE"/>
    <w:rsid w:val="1CF734C9"/>
    <w:rsid w:val="1DEC284C"/>
    <w:rsid w:val="1E6523AC"/>
    <w:rsid w:val="21461012"/>
    <w:rsid w:val="22440422"/>
    <w:rsid w:val="22BB4BBB"/>
    <w:rsid w:val="25714529"/>
    <w:rsid w:val="27823D6E"/>
    <w:rsid w:val="291D7E71"/>
    <w:rsid w:val="2A3F2F53"/>
    <w:rsid w:val="2AEB3417"/>
    <w:rsid w:val="2B5046A9"/>
    <w:rsid w:val="30127B81"/>
    <w:rsid w:val="316C6AC3"/>
    <w:rsid w:val="31A15F24"/>
    <w:rsid w:val="324A1681"/>
    <w:rsid w:val="336C722F"/>
    <w:rsid w:val="34C41FFA"/>
    <w:rsid w:val="361B6EFE"/>
    <w:rsid w:val="367D6C5C"/>
    <w:rsid w:val="36FB1DF0"/>
    <w:rsid w:val="395347B5"/>
    <w:rsid w:val="39A232A0"/>
    <w:rsid w:val="39E745AA"/>
    <w:rsid w:val="3B5A6BBB"/>
    <w:rsid w:val="3EDA13A6"/>
    <w:rsid w:val="403F088E"/>
    <w:rsid w:val="417B75E9"/>
    <w:rsid w:val="41AA54F0"/>
    <w:rsid w:val="42F058B7"/>
    <w:rsid w:val="436109F6"/>
    <w:rsid w:val="441A38D4"/>
    <w:rsid w:val="4504239D"/>
    <w:rsid w:val="45AF70F4"/>
    <w:rsid w:val="47705032"/>
    <w:rsid w:val="47EF2B9D"/>
    <w:rsid w:val="4BC77339"/>
    <w:rsid w:val="4C9236C5"/>
    <w:rsid w:val="4E250A85"/>
    <w:rsid w:val="4E9D64C7"/>
    <w:rsid w:val="4FFD4925"/>
    <w:rsid w:val="505C172E"/>
    <w:rsid w:val="506405EA"/>
    <w:rsid w:val="51F46A7D"/>
    <w:rsid w:val="52A77CC2"/>
    <w:rsid w:val="52F46F0B"/>
    <w:rsid w:val="532B6A10"/>
    <w:rsid w:val="53D8014D"/>
    <w:rsid w:val="54110458"/>
    <w:rsid w:val="55E064E0"/>
    <w:rsid w:val="572C6D10"/>
    <w:rsid w:val="5DC34279"/>
    <w:rsid w:val="5F41673E"/>
    <w:rsid w:val="5F916509"/>
    <w:rsid w:val="5FCD688E"/>
    <w:rsid w:val="5FF9BDAA"/>
    <w:rsid w:val="5FFE5333"/>
    <w:rsid w:val="608816D1"/>
    <w:rsid w:val="60EF4E7F"/>
    <w:rsid w:val="648B0A32"/>
    <w:rsid w:val="64A36202"/>
    <w:rsid w:val="658E1FB1"/>
    <w:rsid w:val="665233C1"/>
    <w:rsid w:val="68752FB5"/>
    <w:rsid w:val="68792F9F"/>
    <w:rsid w:val="68FB4E2B"/>
    <w:rsid w:val="69944FDF"/>
    <w:rsid w:val="69AC0D42"/>
    <w:rsid w:val="6A5675B7"/>
    <w:rsid w:val="6AD9688B"/>
    <w:rsid w:val="6C164AAF"/>
    <w:rsid w:val="6D0E3F22"/>
    <w:rsid w:val="6E546404"/>
    <w:rsid w:val="6EFD1E92"/>
    <w:rsid w:val="6FA93114"/>
    <w:rsid w:val="6FC27ACA"/>
    <w:rsid w:val="72851D44"/>
    <w:rsid w:val="744E4660"/>
    <w:rsid w:val="753355A2"/>
    <w:rsid w:val="759F1C61"/>
    <w:rsid w:val="769F2DE8"/>
    <w:rsid w:val="76FDEB7C"/>
    <w:rsid w:val="776329BC"/>
    <w:rsid w:val="78F62422"/>
    <w:rsid w:val="79987ED9"/>
    <w:rsid w:val="79B71F54"/>
    <w:rsid w:val="79C65162"/>
    <w:rsid w:val="7C9011D9"/>
    <w:rsid w:val="7DC651C5"/>
    <w:rsid w:val="7DF350ED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pPr>
      <w:widowControl w:val="0"/>
      <w:jc w:val="both"/>
    </w:pPr>
    <w:rPr>
      <w:rFonts w:ascii="宋体" w:eastAsia="宋体" w:cs="宋体"/>
      <w:kern w:val="2"/>
      <w:sz w:val="21"/>
      <w:szCs w:val="21"/>
      <w:lang w:val="zh-CN" w:eastAsia="zh-CN" w:bidi="zh-CN"/>
    </w:rPr>
  </w:style>
  <w:style w:type="paragraph" w:styleId="5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3">
    <w:name w:val="正文首行缩进1"/>
    <w:basedOn w:val="4"/>
    <w:next w:val="14"/>
    <w:qFormat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customStyle="1" w:styleId="1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黑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2452</Words>
  <Characters>2501</Characters>
  <Lines>1</Lines>
  <Paragraphs>1</Paragraphs>
  <TotalTime>44</TotalTime>
  <ScaleCrop>false</ScaleCrop>
  <LinksUpToDate>false</LinksUpToDate>
  <CharactersWithSpaces>2507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黄春龙</cp:lastModifiedBy>
  <cp:lastPrinted>2022-05-12T00:46:00Z</cp:lastPrinted>
  <dcterms:modified xsi:type="dcterms:W3CDTF">2024-09-06T03:13:12Z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473998DC8CC74715B3063E9D855348F0</vt:lpwstr>
  </property>
</Properties>
</file>