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napToGrid/>
          <w:color w:val="000000"/>
          <w:kern w:val="2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/>
          <w:color w:val="000000"/>
          <w:kern w:val="2"/>
          <w:sz w:val="44"/>
          <w:szCs w:val="44"/>
          <w:lang w:val="en-US" w:eastAsia="zh-CN"/>
        </w:rPr>
        <w:t>重庆市大足区林业局2024年政府信息公开工作年度报告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  <w:t>本年度报告根据《中华人民共和国政府信息公开条例》（以下简称《条例》）的要求编制。全文包括总体情况、主动公开政府信息情况、收到和处理政府信息公开申请情况、政府信息公开行政复议及行政诉讼情况、存在的主要问题及改进情况、其他需要报告的事项六个部分。本年度报告中所列数据的统计期限自2024年1月1日起至12月31日止，并在大足区人民政府门户网站全文公开。如对本年度报告有任何疑问，请与重庆市大足区林业局办公室联系（地址：重庆市大足区棠香街道二环南路897号；联系方式：023-43722238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  <w:t>重庆市大足区林业局深入贯彻党中央、国务院和市委、市政府关于全面推进政务公开工作的决策部署，严格执行《中华人民共和国政府信息公开条例》，紧紧围绕林业工作和群众关注关切，扎实推进政务信息公开，推动政府决策和管理服务更加透明规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snapToGrid/>
          <w:color w:val="000000"/>
          <w:kern w:val="2"/>
          <w:sz w:val="32"/>
          <w:szCs w:val="32"/>
          <w:lang w:val="en-US" w:eastAsia="zh-CN" w:bidi="ar-SA"/>
        </w:rPr>
        <w:t>（一）主动公开情况。</w:t>
      </w:r>
      <w:r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  <w:t>在门户网站及时发布林业最新政策法规、办事指南和服务动态等官方权威消息，在主动公开栏目开设了履职一句、政府采购、预算/决算、行政许可、权责清单、处罚/强制、收费项目、机构职能、法治政府建设年度报告等一级栏目9大项。2024年度，我局通过政府信息公开平台发布信息67条，其中</w:t>
      </w:r>
      <w:r>
        <w:rPr>
          <w:rFonts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文件信息</w:t>
      </w:r>
      <w:r>
        <w:rPr>
          <w:rFonts w:hint="eastAsia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条，政策解读信息</w:t>
      </w:r>
      <w:r>
        <w:rPr>
          <w:rFonts w:hint="eastAsia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条，部门预算</w:t>
      </w:r>
      <w:r>
        <w:rPr>
          <w:rFonts w:hint="eastAsia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决算</w:t>
      </w:r>
      <w:r>
        <w:rPr>
          <w:rFonts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公开</w:t>
      </w:r>
      <w:r>
        <w:rPr>
          <w:rFonts w:hint="eastAsia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14</w:t>
      </w:r>
      <w:r>
        <w:rPr>
          <w:rFonts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条，其他公开信息</w:t>
      </w:r>
      <w:r>
        <w:rPr>
          <w:rFonts w:hint="eastAsia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48</w:t>
      </w:r>
      <w:r>
        <w:rPr>
          <w:rFonts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</w:t>
      </w:r>
      <w:r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楷体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snapToGrid/>
          <w:color w:val="000000"/>
          <w:kern w:val="2"/>
          <w:sz w:val="32"/>
          <w:szCs w:val="32"/>
          <w:lang w:val="en-US" w:eastAsia="zh-CN" w:bidi="ar-SA"/>
        </w:rPr>
        <w:t>（二）依申请公开情况。</w:t>
      </w:r>
      <w:r>
        <w:rPr>
          <w:rFonts w:hint="default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年我</w:t>
      </w:r>
      <w:r>
        <w:rPr>
          <w:rFonts w:hint="eastAsia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局</w:t>
      </w:r>
      <w:r>
        <w:rPr>
          <w:rFonts w:hint="eastAsia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共</w:t>
      </w:r>
      <w:r>
        <w:rPr>
          <w:rFonts w:hint="default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收到依申请公开政府信息事项</w:t>
      </w:r>
      <w:r>
        <w:rPr>
          <w:rFonts w:hint="eastAsia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3条，均为自然人申请，其中2条以“无法提供”及时回复给公众，1条转结至2025年以“予以公开”回复</w:t>
      </w:r>
      <w:r>
        <w:rPr>
          <w:rFonts w:hint="default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楷体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snapToGrid/>
          <w:color w:val="000000"/>
          <w:kern w:val="2"/>
          <w:sz w:val="32"/>
          <w:szCs w:val="32"/>
          <w:lang w:val="en-US" w:eastAsia="zh-CN" w:bidi="ar-SA"/>
        </w:rPr>
        <w:t>（三）政府信息管理情况。</w:t>
      </w:r>
      <w:r>
        <w:rPr>
          <w:rFonts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加强和规范政府信息管理，做好规章、规范性文件、政府工作报告、组织机构、财政预决算等重点政府信息公开</w:t>
      </w:r>
      <w:r>
        <w:rPr>
          <w:rFonts w:hint="default" w:ascii="Times New Roman" w:hAnsi="Times New Roman" w:eastAsia="方正仿宋_GBK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。严格落实三审三校制度，对发布信息的内容进行审核，确保发布信息的准确性。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snapToGrid/>
          <w:color w:val="000000"/>
          <w:kern w:val="2"/>
          <w:sz w:val="32"/>
          <w:szCs w:val="32"/>
          <w:lang w:val="en-US" w:eastAsia="zh-CN" w:bidi="ar-SA"/>
        </w:rPr>
        <w:t>（四）政府信息公开平台建设情况。</w:t>
      </w:r>
      <w:r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  <w:t>严格落实网络意识形态责任制，及时更政府信息公开工作领导小组信息，落实</w:t>
      </w:r>
      <w:r>
        <w:rPr>
          <w:rFonts w:hint="default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  <w:t>专职负责人员</w:t>
      </w:r>
      <w:r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  <w:t>，确保局门户网站安全平稳运行。扎实做好网站信息公开平台的内容管理、栏目维护工作。对门户网站运行情况、链接可用情况、栏目更新情况、信息内容质量等情况进行检查,及时发现问题、纠正错漏，提升政府信息公开时效性、准确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snapToGrid/>
          <w:color w:val="000000"/>
          <w:kern w:val="2"/>
          <w:sz w:val="32"/>
          <w:szCs w:val="32"/>
          <w:lang w:val="en-US" w:eastAsia="zh-CN" w:bidi="ar-SA"/>
        </w:rPr>
        <w:t>（五）监督保障情况。</w:t>
      </w:r>
      <w:r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  <w:t>强化队伍建设，定期开展信息员业务培训，不断提高政府信息公开工作质量和水平。强化保密审查，明确“先审查、后公开”原则，严格遵照相关法律法规，将能予公开的信息及时公开、回应到位。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黑体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  <w:t>二、主动公开政府信息情况</w:t>
      </w:r>
    </w:p>
    <w:tbl>
      <w:tblPr>
        <w:tblStyle w:val="6"/>
        <w:tblW w:w="97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8"/>
        <w:gridCol w:w="2434"/>
        <w:gridCol w:w="2434"/>
        <w:gridCol w:w="24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9744" w:type="dxa"/>
            <w:gridSpan w:val="4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第二十条第（一）项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43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信息内容</w:t>
            </w:r>
          </w:p>
        </w:tc>
        <w:tc>
          <w:tcPr>
            <w:tcW w:w="243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本年制发件数</w:t>
            </w:r>
          </w:p>
        </w:tc>
        <w:tc>
          <w:tcPr>
            <w:tcW w:w="2434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本年废止件数</w:t>
            </w:r>
          </w:p>
        </w:tc>
        <w:tc>
          <w:tcPr>
            <w:tcW w:w="243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现行有效件数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43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规章</w:t>
            </w:r>
          </w:p>
        </w:tc>
        <w:tc>
          <w:tcPr>
            <w:tcW w:w="24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24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243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83" w:hRule="atLeast"/>
        </w:trPr>
        <w:tc>
          <w:tcPr>
            <w:tcW w:w="243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行政规范性文件</w:t>
            </w:r>
          </w:p>
        </w:tc>
        <w:tc>
          <w:tcPr>
            <w:tcW w:w="24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243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firstLine="420" w:firstLineChars="20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243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firstLine="420" w:firstLineChars="20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744" w:type="dxa"/>
            <w:gridSpan w:val="4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第二十条第（五）项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43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信息内容</w:t>
            </w:r>
          </w:p>
        </w:tc>
        <w:tc>
          <w:tcPr>
            <w:tcW w:w="7306" w:type="dxa"/>
            <w:gridSpan w:val="3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本年处理决定数量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43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行政许可</w:t>
            </w:r>
          </w:p>
        </w:tc>
        <w:tc>
          <w:tcPr>
            <w:tcW w:w="730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431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84" w:hRule="atLeast"/>
        </w:trPr>
        <w:tc>
          <w:tcPr>
            <w:tcW w:w="9744" w:type="dxa"/>
            <w:gridSpan w:val="4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第二十条第（六）项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43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信息内容</w:t>
            </w:r>
          </w:p>
        </w:tc>
        <w:tc>
          <w:tcPr>
            <w:tcW w:w="7306" w:type="dxa"/>
            <w:gridSpan w:val="3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本年处理决定数量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43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行政处罚</w:t>
            </w:r>
          </w:p>
        </w:tc>
        <w:tc>
          <w:tcPr>
            <w:tcW w:w="730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firstLine="0" w:firstLine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43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行政强制</w:t>
            </w:r>
          </w:p>
        </w:tc>
        <w:tc>
          <w:tcPr>
            <w:tcW w:w="730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84" w:hRule="atLeast"/>
        </w:trPr>
        <w:tc>
          <w:tcPr>
            <w:tcW w:w="9744" w:type="dxa"/>
            <w:gridSpan w:val="4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第二十条第（八）项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43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信息内容</w:t>
            </w:r>
          </w:p>
        </w:tc>
        <w:tc>
          <w:tcPr>
            <w:tcW w:w="7306" w:type="dxa"/>
            <w:gridSpan w:val="3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本年收费金额（单位：万元）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243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行政事业性收费</w:t>
            </w:r>
          </w:p>
        </w:tc>
        <w:tc>
          <w:tcPr>
            <w:tcW w:w="7306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  <w:t>三、收到和处理政府信息公开申请情况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  <w:sectPr>
          <w:footerReference r:id="rId5" w:type="default"/>
          <w:pgSz w:w="11906" w:h="16838"/>
          <w:pgMar w:top="1984" w:right="1446" w:bottom="1644" w:left="1446" w:header="0" w:footer="1454" w:gutter="0"/>
          <w:pgNumType w:fmt="decimal" w:start="1"/>
          <w:cols w:space="720" w:num="1"/>
        </w:sectPr>
      </w:pPr>
    </w:p>
    <w:p>
      <w:pPr>
        <w:spacing w:before="92"/>
      </w:pPr>
    </w:p>
    <w:p>
      <w:pPr>
        <w:spacing w:before="92"/>
      </w:pPr>
    </w:p>
    <w:tbl>
      <w:tblPr>
        <w:tblStyle w:val="6"/>
        <w:tblW w:w="97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942"/>
        <w:gridCol w:w="3219"/>
        <w:gridCol w:w="687"/>
        <w:gridCol w:w="688"/>
        <w:gridCol w:w="688"/>
        <w:gridCol w:w="688"/>
        <w:gridCol w:w="688"/>
        <w:gridCol w:w="688"/>
        <w:gridCol w:w="69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4932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position w:val="29"/>
              </w:rPr>
              <w:t>（本列数据的勾稽关系为：</w:t>
            </w:r>
            <w:r>
              <w:rPr>
                <w:rFonts w:hint="eastAsia" w:asciiTheme="minorEastAsia" w:hAnsiTheme="minorEastAsia" w:eastAsiaTheme="minorEastAsia" w:cstheme="minorEastAsia"/>
                <w:spacing w:val="-30"/>
                <w:position w:val="29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position w:val="29"/>
              </w:rPr>
              <w:t>第一项加第二项之和，等于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第三项加第四项之和）</w:t>
            </w:r>
          </w:p>
        </w:tc>
        <w:tc>
          <w:tcPr>
            <w:tcW w:w="4820" w:type="dxa"/>
            <w:gridSpan w:val="7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申请人情况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4932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687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position w:val="28"/>
              </w:rPr>
              <w:t>自然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人</w:t>
            </w:r>
          </w:p>
        </w:tc>
        <w:tc>
          <w:tcPr>
            <w:tcW w:w="3440" w:type="dxa"/>
            <w:gridSpan w:val="5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法人或其他组织</w:t>
            </w:r>
          </w:p>
        </w:tc>
        <w:tc>
          <w:tcPr>
            <w:tcW w:w="693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</w:rPr>
              <w:t>总计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4932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687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position w:val="28"/>
              </w:rPr>
              <w:t>商业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企业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position w:val="29"/>
              </w:rPr>
              <w:t>科研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机构</w:t>
            </w:r>
          </w:p>
        </w:tc>
        <w:tc>
          <w:tcPr>
            <w:tcW w:w="68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position w:val="29"/>
              </w:rPr>
              <w:t>社会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</w:rPr>
              <w:t>公益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组织</w:t>
            </w:r>
          </w:p>
        </w:tc>
        <w:tc>
          <w:tcPr>
            <w:tcW w:w="688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position w:val="29"/>
              </w:rPr>
              <w:t>法律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服务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机构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</w:rPr>
              <w:t>其他</w:t>
            </w:r>
          </w:p>
        </w:tc>
        <w:tc>
          <w:tcPr>
            <w:tcW w:w="693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4932" w:type="dxa"/>
            <w:gridSpan w:val="3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一、本年新收政府信息公开申请数量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3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4932" w:type="dxa"/>
            <w:gridSpan w:val="3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二、上年结转政府信息公开申请数量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1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三、本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年度办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理结果</w:t>
            </w:r>
          </w:p>
        </w:tc>
        <w:tc>
          <w:tcPr>
            <w:tcW w:w="4161" w:type="dxa"/>
            <w:gridSpan w:val="2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</w:rPr>
              <w:t>（一）予以公开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4161" w:type="dxa"/>
            <w:gridSpan w:val="2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right"/>
              <w:textAlignment w:val="baseline"/>
              <w:rPr>
                <w:rFonts w:hint="eastAsia" w:asciiTheme="minorEastAsia" w:hAnsiTheme="minorEastAsia" w:eastAsiaTheme="minorEastAsia" w:cstheme="minorEastAsia"/>
                <w:spacing w:val="4"/>
                <w:position w:val="29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right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  <w:position w:val="29"/>
              </w:rPr>
              <w:t>（二）部分公开（区分处理的，只计这一情形，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不计其他情形）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  <w:t>（三）不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  <w:t>予公开</w:t>
            </w: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88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</w:rPr>
              <w:t>1.属于国家秘密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400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2.其他法律行政法规禁止公开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428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2"/>
              </w:rPr>
              <w:t>3.危及“三安全一稳定”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96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4.保护第三方合法权益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96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5.属于三类内部事务信息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96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6.属于四类过程性信息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96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7.属于行政执法案卷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92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8.属于行政查询事项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  <w:t>（四）无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  <w:t>法提供</w:t>
            </w: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92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1.本机关不掌握相关政府信息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1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400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2.没有现成信息需要另行制作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1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96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3.补正后申请内容仍不明确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  <w:t>（五）不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  <w:t>予处理</w:t>
            </w: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92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1.信访举报投诉类申请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96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2.重复申请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96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3.要求提供公开出版物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400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4.无正当理由大量反复申请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2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404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pacing w:val="6"/>
                <w:position w:val="29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 w:firstLine="404" w:firstLineChars="20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position w:val="29"/>
              </w:rPr>
              <w:t>5.要求行政机关确认或重新出具</w:t>
            </w:r>
            <w:r>
              <w:rPr>
                <w:rFonts w:hint="eastAsia" w:asciiTheme="minorEastAsia" w:hAnsiTheme="minorEastAsia" w:eastAsiaTheme="minorEastAsia" w:cstheme="minorEastAsia"/>
                <w:spacing w:val="6"/>
                <w:position w:val="29"/>
                <w:lang w:eastAsia="zh-CN"/>
              </w:rPr>
              <w:t>已获取信息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  <w:t>（六）其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spacing w:val="4"/>
                <w:kern w:val="0"/>
                <w:position w:val="29"/>
                <w:sz w:val="19"/>
                <w:szCs w:val="19"/>
                <w:lang w:val="en-US" w:eastAsia="en-US" w:bidi="ar-SA"/>
              </w:rPr>
              <w:t>他处理</w:t>
            </w: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96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申请人无正当理由逾期不补正、行</w:t>
            </w:r>
            <w:r>
              <w:rPr>
                <w:rFonts w:hint="eastAsia" w:asciiTheme="minorEastAsia" w:hAnsiTheme="minorEastAsia" w:eastAsiaTheme="minorEastAsia" w:cstheme="minorEastAsia"/>
                <w:spacing w:val="18"/>
              </w:rPr>
              <w:t>政机关不再处理其政府信息</w:t>
            </w:r>
            <w:r>
              <w:rPr>
                <w:rFonts w:hint="eastAsia" w:asciiTheme="minorEastAsia" w:hAnsiTheme="minorEastAsia" w:eastAsiaTheme="minorEastAsia" w:cstheme="minorEastAsia"/>
                <w:spacing w:val="18"/>
                <w:lang w:eastAsia="zh-CN"/>
              </w:rPr>
              <w:t>公开申请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400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pacing w:val="-1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申请人逾期未按收费通知要求缴纳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费用、行政机关不再处理其政府信息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lang w:eastAsia="zh-CN"/>
              </w:rPr>
              <w:t>公开申请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right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321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388" w:firstLineChars="20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</w:rPr>
              <w:t>3.其他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771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4161" w:type="dxa"/>
            <w:gridSpan w:val="2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</w:rPr>
              <w:t>（七）总计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2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4932" w:type="dxa"/>
            <w:gridSpan w:val="3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四、结转下年度继续办理</w:t>
            </w:r>
          </w:p>
        </w:tc>
        <w:tc>
          <w:tcPr>
            <w:tcW w:w="68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1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8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9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  <w:t>四、政府信息公开行政复议、行政诉讼情况</w:t>
      </w:r>
    </w:p>
    <w:tbl>
      <w:tblPr>
        <w:tblStyle w:val="6"/>
        <w:tblW w:w="97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649"/>
        <w:gridCol w:w="649"/>
        <w:gridCol w:w="649"/>
        <w:gridCol w:w="648"/>
        <w:gridCol w:w="649"/>
        <w:gridCol w:w="649"/>
        <w:gridCol w:w="650"/>
        <w:gridCol w:w="649"/>
        <w:gridCol w:w="650"/>
        <w:gridCol w:w="651"/>
        <w:gridCol w:w="651"/>
        <w:gridCol w:w="650"/>
        <w:gridCol w:w="650"/>
        <w:gridCol w:w="65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3248" w:type="dxa"/>
            <w:gridSpan w:val="5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行政复议</w:t>
            </w:r>
          </w:p>
        </w:tc>
        <w:tc>
          <w:tcPr>
            <w:tcW w:w="6504" w:type="dxa"/>
            <w:gridSpan w:val="1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行政诉讼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653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  <w:position w:val="29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position w:val="2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维持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  <w:position w:val="29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position w:val="29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</w:rPr>
              <w:t>纠正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6"/>
                <w:position w:val="29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position w:val="29"/>
              </w:rPr>
              <w:t>其他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结果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-5"/>
                <w:position w:val="29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29"/>
              </w:rPr>
              <w:t>尚未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审结</w:t>
            </w:r>
          </w:p>
        </w:tc>
        <w:tc>
          <w:tcPr>
            <w:tcW w:w="648" w:type="dxa"/>
            <w:vMerge w:val="restart"/>
            <w:tcBorders>
              <w:bottom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</w:rPr>
              <w:t>总计</w:t>
            </w:r>
          </w:p>
        </w:tc>
        <w:tc>
          <w:tcPr>
            <w:tcW w:w="3247" w:type="dxa"/>
            <w:gridSpan w:val="5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未经复议直接起诉</w:t>
            </w:r>
          </w:p>
        </w:tc>
        <w:tc>
          <w:tcPr>
            <w:tcW w:w="3257" w:type="dxa"/>
            <w:gridSpan w:val="5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>复议后起诉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</w:trPr>
        <w:tc>
          <w:tcPr>
            <w:tcW w:w="653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648" w:type="dxa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</w:tc>
        <w:tc>
          <w:tcPr>
            <w:tcW w:w="64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  <w:position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position w:val="28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维持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  <w:position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position w:val="28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</w:rPr>
              <w:t>纠正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6"/>
                <w:position w:val="29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position w:val="29"/>
              </w:rPr>
              <w:t>其他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结果</w:t>
            </w:r>
          </w:p>
        </w:tc>
        <w:tc>
          <w:tcPr>
            <w:tcW w:w="649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-5"/>
                <w:position w:val="29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29"/>
              </w:rPr>
              <w:t>尚未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审结</w:t>
            </w:r>
          </w:p>
        </w:tc>
        <w:tc>
          <w:tcPr>
            <w:tcW w:w="6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</w:rPr>
              <w:t>总计</w:t>
            </w:r>
          </w:p>
        </w:tc>
        <w:tc>
          <w:tcPr>
            <w:tcW w:w="65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  <w:position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position w:val="28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维持</w:t>
            </w:r>
          </w:p>
        </w:tc>
        <w:tc>
          <w:tcPr>
            <w:tcW w:w="651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5"/>
                <w:position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position w:val="28"/>
              </w:rPr>
              <w:t>结果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</w:rPr>
              <w:t>纠正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6"/>
                <w:position w:val="29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position w:val="29"/>
              </w:rPr>
              <w:t>其他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</w:rPr>
              <w:t>结果</w:t>
            </w:r>
          </w:p>
        </w:tc>
        <w:tc>
          <w:tcPr>
            <w:tcW w:w="650" w:type="dxa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pacing w:val="-5"/>
                <w:position w:val="29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5"/>
                <w:position w:val="29"/>
              </w:rPr>
              <w:t>尚未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3"/>
              </w:rPr>
              <w:t>审结</w:t>
            </w:r>
          </w:p>
        </w:tc>
        <w:tc>
          <w:tcPr>
            <w:tcW w:w="6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</w:rPr>
              <w:t>总计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53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4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4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4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4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4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4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4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5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  <w:tc>
          <w:tcPr>
            <w:tcW w:w="65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  <w:t>0</w:t>
            </w:r>
          </w:p>
        </w:tc>
      </w:tr>
    </w:tbl>
    <w:p>
      <w:pPr>
        <w:spacing w:line="247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  <w:t>今年来，我局政府信息公开整体水平明显提升，信息公开的格式准确性明星提升，但仍存在以下问题：一是政府信息公开实效性有待提高，二是缺乏林业工作宣传内容。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  <w:t>下一步，我局将将加强信息收集、整理和发布工作，更加注重各类政策文件发布的时效性，同时也密切关注公开申请件办理情况，主动缩短办事时间，切实做到以人民为中心，提高工作效率，确保回复及时满意。改进工作方法，发挥各科室的积极主动性，报送亮点工作信息，加强林业工作宣传力度，全力推进政府信息公开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snapToGrid/>
          <w:color w:val="000000"/>
          <w:kern w:val="2"/>
          <w:sz w:val="32"/>
          <w:szCs w:val="32"/>
          <w:lang w:val="en-US" w:eastAsia="zh-CN" w:bidi="ar-SA"/>
        </w:rPr>
        <w:t>六、其他需要报告的事项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ind w:firstLine="640" w:firstLineChars="200"/>
      </w:pPr>
      <w:r>
        <w:rPr>
          <w:rFonts w:hint="eastAsia" w:ascii="Times New Roman" w:hAnsi="Times New Roman" w:eastAsia="方正仿宋_GBK" w:cs="方正仿宋_GBK"/>
          <w:snapToGrid/>
          <w:color w:val="000000"/>
          <w:kern w:val="2"/>
          <w:sz w:val="32"/>
          <w:szCs w:val="32"/>
          <w:lang w:val="en-US" w:eastAsia="zh-CN" w:bidi="ar-SA"/>
        </w:rPr>
        <w:t>无。</w:t>
      </w:r>
    </w:p>
    <w:p>
      <w:bookmarkStart w:id="0" w:name="_GoBack"/>
      <w:bookmarkEnd w:id="0"/>
    </w:p>
    <w:sectPr>
      <w:footerReference r:id="rId6" w:type="default"/>
      <w:pgSz w:w="11906" w:h="16838"/>
      <w:pgMar w:top="1984" w:right="1446" w:bottom="1644" w:left="1446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2312">
    <w:altName w:val="方正楷体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bottomMargin">
                <wp:posOffset>252095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73.5pt;margin-top:772.95pt;height:144pt;width:144pt;mso-position-horizontal-relative:page;mso-position-vertical-relative:page;mso-wrap-style:none;z-index:251658240;mso-width-relative:page;mso-height-relative:page;" filled="f" stroked="f" coordsize="21600,21600" o:gfxdata="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BYAAABkcnMvUEsBAhQA&#10;FAAAAAgAh07iQLn2B9TUAAAABwEAAA8AAAAAAAAAAQAgAAAAOAAAAGRycy9kb3ducmV2LnhtbFBL&#10;AQIUABQAAAAIAIdO4kD176IwHQIAACkEAAAOAAAAAAAAAAEAIAAAADk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66FEA41E"/>
    <w:rsid w:val="7D7F1A3F"/>
    <w:rsid w:val="F3973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28"/>
    </w:rPr>
  </w:style>
  <w:style w:type="paragraph" w:customStyle="1" w:styleId="5">
    <w:name w:val="Table Text"/>
    <w:basedOn w:val="1"/>
    <w:semiHidden/>
    <w:qFormat/>
    <w:uiPriority w:val="0"/>
    <w:rPr>
      <w:rFonts w:ascii="微软雅黑" w:hAnsi="微软雅黑" w:eastAsia="微软雅黑" w:cs="微软雅黑"/>
      <w:sz w:val="19"/>
      <w:szCs w:val="19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guest</cp:lastModifiedBy>
  <dcterms:modified xsi:type="dcterms:W3CDTF">2025-01-28T12:57:11Z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