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781DDF"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Times New Roman" w:hAnsi="Times New Roman" w:eastAsia="方正小标宋_GBK" w:cs="方正小标宋_GBK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Times New Roman" w:hAnsi="Times New Roman" w:eastAsia="方正小标宋_GBK" w:cs="方正小标宋_GBK"/>
          <w:color w:val="333333"/>
          <w:spacing w:val="0"/>
          <w:sz w:val="44"/>
          <w:szCs w:val="44"/>
          <w:shd w:val="clear" w:fill="FFFFFF"/>
        </w:rPr>
        <w:t>重庆市</w:t>
      </w:r>
      <w:r>
        <w:rPr>
          <w:rFonts w:hint="eastAsia" w:ascii="Times New Roman" w:hAnsi="Times New Roman" w:eastAsia="方正小标宋_GBK" w:cs="方正小标宋_GBK"/>
          <w:color w:val="333333"/>
          <w:spacing w:val="0"/>
          <w:sz w:val="44"/>
          <w:szCs w:val="44"/>
          <w:shd w:val="clear" w:fill="FFFFFF"/>
          <w:lang w:eastAsia="zh-CN"/>
        </w:rPr>
        <w:t>大足区</w:t>
      </w:r>
      <w:r>
        <w:rPr>
          <w:rFonts w:hint="eastAsia" w:ascii="Times New Roman" w:hAnsi="Times New Roman" w:eastAsia="方正小标宋_GBK" w:cs="方正小标宋_GBK"/>
          <w:color w:val="333333"/>
          <w:spacing w:val="0"/>
          <w:sz w:val="44"/>
          <w:szCs w:val="44"/>
          <w:shd w:val="clear" w:fill="FFFFFF"/>
        </w:rPr>
        <w:t>司法局</w:t>
      </w:r>
    </w:p>
    <w:p w14:paraId="5A64D032"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Times New Roman" w:hAnsi="Times New Roman" w:eastAsia="方正小标宋_GBK" w:cs="方正小标宋_GBK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Times New Roman" w:hAnsi="Times New Roman" w:eastAsia="方正小标宋_GBK" w:cs="方正小标宋_GBK"/>
          <w:color w:val="333333"/>
          <w:spacing w:val="0"/>
          <w:sz w:val="44"/>
          <w:szCs w:val="44"/>
          <w:shd w:val="clear" w:fill="FFFFFF"/>
        </w:rPr>
        <w:t>关于202</w:t>
      </w:r>
      <w:r>
        <w:rPr>
          <w:rFonts w:hint="eastAsia" w:ascii="Times New Roman" w:hAnsi="Times New Roman" w:eastAsia="方正小标宋_GBK" w:cs="方正小标宋_GBK"/>
          <w:color w:val="333333"/>
          <w:spacing w:val="0"/>
          <w:sz w:val="44"/>
          <w:szCs w:val="44"/>
          <w:shd w:val="clear" w:fill="FFFFFF"/>
          <w:lang w:val="en-US" w:eastAsia="zh-CN"/>
        </w:rPr>
        <w:t>5</w:t>
      </w:r>
      <w:r>
        <w:rPr>
          <w:rFonts w:hint="eastAsia" w:ascii="Times New Roman" w:hAnsi="Times New Roman" w:eastAsia="方正小标宋_GBK" w:cs="方正小标宋_GBK"/>
          <w:color w:val="333333"/>
          <w:spacing w:val="0"/>
          <w:sz w:val="44"/>
          <w:szCs w:val="44"/>
          <w:shd w:val="clear" w:fill="FFFFFF"/>
        </w:rPr>
        <w:t>年度随机抽查计划的公示</w:t>
      </w:r>
    </w:p>
    <w:p w14:paraId="025A4270"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5"/>
        <w:jc w:val="left"/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</w:pPr>
    </w:p>
    <w:p w14:paraId="169CA92B"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5"/>
        <w:jc w:val="left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根据《重庆市公共法律服务领域“双随机、一公开”监管实施方案》(渝司发〔2020〕56号)要求，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司法局制定了《重庆市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eastAsia="zh-CN"/>
        </w:rPr>
        <w:t>大足区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司法局202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年度随机抽查工作计划》,现予公示。如有异议，请自本公示发布之日起7日内通过信函方式向重庆市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eastAsia="zh-CN"/>
        </w:rPr>
        <w:t>大足区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司法局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eastAsia="zh-CN"/>
        </w:rPr>
        <w:t>法治督察科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提出意见和建议。</w:t>
      </w:r>
    </w:p>
    <w:p w14:paraId="7BAD2E4F"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333333"/>
          <w:sz w:val="32"/>
          <w:szCs w:val="32"/>
          <w:shd w:val="clear" w:fill="FFFFFF"/>
        </w:rPr>
        <w:t> </w:t>
      </w:r>
      <w:bookmarkStart w:id="0" w:name="_GoBack"/>
      <w:bookmarkEnd w:id="0"/>
    </w:p>
    <w:p w14:paraId="1FB7144C"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5"/>
        <w:jc w:val="left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附件：《重庆市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eastAsia="zh-CN"/>
        </w:rPr>
        <w:t>大足区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司法局202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年度随机抽查工作计划》</w:t>
      </w:r>
    </w:p>
    <w:p w14:paraId="126DC9D2"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333333"/>
          <w:sz w:val="32"/>
          <w:szCs w:val="32"/>
          <w:shd w:val="clear" w:fill="FFFFFF"/>
        </w:rPr>
        <w:t> </w:t>
      </w:r>
    </w:p>
    <w:p w14:paraId="4B256C78"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5"/>
        <w:jc w:val="right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333333"/>
          <w:sz w:val="32"/>
          <w:szCs w:val="32"/>
          <w:shd w:val="clear" w:fill="FFFFFF"/>
        </w:rPr>
        <w:t>                             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                            重庆市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eastAsia="zh-CN"/>
        </w:rPr>
        <w:t>大足区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司法局</w:t>
      </w:r>
    </w:p>
    <w:p w14:paraId="59293960"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right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年1月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val="en-US" w:eastAsia="zh-CN"/>
        </w:rPr>
        <w:t>14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日</w:t>
      </w:r>
    </w:p>
    <w:p w14:paraId="2EB8DC40"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333333"/>
          <w:sz w:val="32"/>
          <w:szCs w:val="32"/>
          <w:shd w:val="clear" w:fill="FFFFFF"/>
        </w:rPr>
        <w:t> </w:t>
      </w:r>
    </w:p>
    <w:p w14:paraId="43DEED7E"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5"/>
        <w:jc w:val="left"/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（联系人：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eastAsia="zh-CN"/>
        </w:rPr>
        <w:t>何荣玢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，联系电话：023-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val="en-US" w:eastAsia="zh-CN"/>
        </w:rPr>
        <w:t>43780716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，信函邮寄地址：重庆市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eastAsia="zh-CN"/>
        </w:rPr>
        <w:t>大足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区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eastAsia="zh-CN"/>
        </w:rPr>
        <w:t>棠香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街道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eastAsia="zh-CN"/>
        </w:rPr>
        <w:t>龙景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路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val="en-US" w:eastAsia="zh-CN"/>
        </w:rPr>
        <w:t>123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号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eastAsia="zh-CN"/>
        </w:rPr>
        <w:t>市民中心四楼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  <w:lang w:val="en-US" w:eastAsia="zh-CN"/>
        </w:rPr>
        <w:t>408室</w:t>
      </w:r>
      <w:r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  <w:t>）</w:t>
      </w:r>
    </w:p>
    <w:p w14:paraId="7C73952A"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5"/>
        <w:jc w:val="left"/>
        <w:rPr>
          <w:rFonts w:hint="eastAsia" w:ascii="Times New Roman" w:hAnsi="Times New Roman" w:eastAsia="方正仿宋_GBK" w:cs="方正仿宋_GBK"/>
          <w:color w:val="333333"/>
          <w:spacing w:val="0"/>
          <w:sz w:val="32"/>
          <w:szCs w:val="32"/>
          <w:shd w:val="clear" w:fill="FFFFFF"/>
        </w:rPr>
      </w:pPr>
    </w:p>
    <w:p w14:paraId="7C717A64"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left"/>
        <w:rPr>
          <w:rFonts w:hint="eastAsia" w:ascii="Times New Roman" w:hAnsi="Times New Roman" w:eastAsia="方正仿宋_GBK" w:cs="方正仿宋_GBK"/>
          <w:color w:val="333333"/>
          <w:spacing w:val="0"/>
          <w:sz w:val="31"/>
          <w:szCs w:val="31"/>
          <w:shd w:val="clear" w:fill="FFFFFF"/>
        </w:rPr>
      </w:pPr>
    </w:p>
    <w:p w14:paraId="5B7AAEB7">
      <w:pPr>
        <w:pStyle w:val="10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5"/>
        <w:jc w:val="left"/>
        <w:rPr>
          <w:rFonts w:hint="eastAsia" w:ascii="Times New Roman" w:hAnsi="Times New Roman" w:eastAsia="方正仿宋_GBK" w:cs="方正仿宋_GBK"/>
          <w:color w:val="333333"/>
          <w:spacing w:val="0"/>
          <w:sz w:val="31"/>
          <w:szCs w:val="31"/>
          <w:shd w:val="clear" w:fill="FFFFFF"/>
        </w:rPr>
        <w:sectPr>
          <w:footerReference r:id="rId3" w:type="default"/>
          <w:pgSz w:w="11906" w:h="16838"/>
          <w:pgMar w:top="2098" w:right="1531" w:bottom="1984" w:left="1531" w:header="851" w:footer="1612" w:gutter="0"/>
          <w:pgNumType w:fmt="decimal"/>
          <w:cols w:space="425" w:num="1"/>
          <w:docGrid w:type="lines" w:linePitch="312" w:charSpace="0"/>
        </w:sectPr>
      </w:pPr>
    </w:p>
    <w:p w14:paraId="45084049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color="auto" w:fill="FFFFFF"/>
        <w:spacing w:beforeLines="0" w:after="0" w:afterLines="0" w:line="600" w:lineRule="exact"/>
        <w:jc w:val="center"/>
        <w:rPr>
          <w:rFonts w:hint="eastAsia" w:ascii="Times New Roman" w:hAnsi="Times New Roman" w:eastAsia="方正小标宋_GBK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_GBK"/>
          <w:color w:val="000000"/>
          <w:kern w:val="0"/>
          <w:sz w:val="44"/>
          <w:szCs w:val="44"/>
        </w:rPr>
        <w:t>重庆市</w:t>
      </w:r>
      <w:r>
        <w:rPr>
          <w:rFonts w:hint="eastAsia" w:ascii="Times New Roman" w:hAnsi="Times New Roman" w:eastAsia="方正小标宋_GBK"/>
          <w:color w:val="000000"/>
          <w:kern w:val="0"/>
          <w:sz w:val="44"/>
          <w:szCs w:val="44"/>
          <w:lang w:eastAsia="zh-CN"/>
        </w:rPr>
        <w:t>大足区</w:t>
      </w:r>
      <w:r>
        <w:rPr>
          <w:rFonts w:hint="eastAsia" w:ascii="Times New Roman" w:hAnsi="Times New Roman" w:eastAsia="方正小标宋_GBK"/>
          <w:color w:val="000000"/>
          <w:kern w:val="0"/>
          <w:sz w:val="44"/>
          <w:szCs w:val="44"/>
        </w:rPr>
        <w:t>司法局</w:t>
      </w:r>
      <w:r>
        <w:rPr>
          <w:rFonts w:hint="default" w:ascii="Times New Roman" w:hAnsi="Times New Roman" w:eastAsia="方正小标宋_GBK"/>
          <w:color w:val="000000"/>
          <w:kern w:val="0"/>
          <w:sz w:val="44"/>
          <w:szCs w:val="44"/>
          <w:lang w:val="en"/>
        </w:rPr>
        <w:t>202</w:t>
      </w:r>
      <w:r>
        <w:rPr>
          <w:rFonts w:hint="eastAsia" w:ascii="Times New Roman" w:hAnsi="Times New Roman" w:eastAsia="方正小标宋_GBK"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_GBK"/>
          <w:color w:val="000000"/>
          <w:kern w:val="0"/>
          <w:sz w:val="44"/>
          <w:szCs w:val="44"/>
        </w:rPr>
        <w:t>年度随机抽查工作计划</w:t>
      </w:r>
    </w:p>
    <w:tbl>
      <w:tblPr>
        <w:tblStyle w:val="12"/>
        <w:tblW w:w="139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842"/>
        <w:gridCol w:w="8461"/>
        <w:gridCol w:w="1168"/>
        <w:gridCol w:w="1080"/>
        <w:gridCol w:w="908"/>
      </w:tblGrid>
      <w:tr w14:paraId="09B96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tblHeader/>
        </w:trPr>
        <w:tc>
          <w:tcPr>
            <w:tcW w:w="534" w:type="dxa"/>
            <w:noWrap w:val="0"/>
            <w:vAlign w:val="center"/>
          </w:tcPr>
          <w:p w14:paraId="6CC58A7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  <w:t>序</w:t>
            </w:r>
          </w:p>
          <w:p w14:paraId="75934F2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842" w:type="dxa"/>
            <w:noWrap w:val="0"/>
            <w:vAlign w:val="center"/>
          </w:tcPr>
          <w:p w14:paraId="0904663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  <w:t>抽查计划名称</w:t>
            </w:r>
          </w:p>
        </w:tc>
        <w:tc>
          <w:tcPr>
            <w:tcW w:w="8461" w:type="dxa"/>
            <w:noWrap w:val="0"/>
            <w:vAlign w:val="center"/>
          </w:tcPr>
          <w:p w14:paraId="60F952A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  <w:t>具体抽查内容</w:t>
            </w:r>
          </w:p>
        </w:tc>
        <w:tc>
          <w:tcPr>
            <w:tcW w:w="1168" w:type="dxa"/>
            <w:noWrap w:val="0"/>
            <w:vAlign w:val="center"/>
          </w:tcPr>
          <w:p w14:paraId="44A94D8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  <w:t>抽查对象范围</w:t>
            </w:r>
          </w:p>
        </w:tc>
        <w:tc>
          <w:tcPr>
            <w:tcW w:w="1080" w:type="dxa"/>
            <w:noWrap w:val="0"/>
            <w:vAlign w:val="center"/>
          </w:tcPr>
          <w:p w14:paraId="4ECCB76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  <w:t>抽查</w:t>
            </w:r>
          </w:p>
          <w:p w14:paraId="038263C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  <w:t>比例</w:t>
            </w:r>
          </w:p>
        </w:tc>
        <w:tc>
          <w:tcPr>
            <w:tcW w:w="908" w:type="dxa"/>
            <w:noWrap w:val="0"/>
            <w:vAlign w:val="center"/>
          </w:tcPr>
          <w:p w14:paraId="683963B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 w:leftChars="0" w:right="0" w:rightChars="0"/>
              <w:jc w:val="center"/>
              <w:textAlignment w:val="auto"/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4"/>
                <w:szCs w:val="24"/>
              </w:rPr>
              <w:t>抽查时间</w:t>
            </w:r>
          </w:p>
        </w:tc>
      </w:tr>
      <w:tr w14:paraId="248C4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4" w:type="dxa"/>
            <w:noWrap w:val="0"/>
            <w:vAlign w:val="center"/>
          </w:tcPr>
          <w:p w14:paraId="003F8961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20" w:lineRule="exact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42" w:type="dxa"/>
            <w:noWrap w:val="0"/>
            <w:vAlign w:val="center"/>
          </w:tcPr>
          <w:p w14:paraId="00E18EA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20" w:lineRule="exac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000000"/>
                <w:kern w:val="0"/>
                <w:sz w:val="24"/>
                <w:szCs w:val="24"/>
                <w:lang w:val="en" w:eastAsia="zh-CN"/>
              </w:rPr>
              <w:t>202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度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司法局随机抽查律师事务所、律师</w:t>
            </w:r>
          </w:p>
        </w:tc>
        <w:tc>
          <w:tcPr>
            <w:tcW w:w="8461" w:type="dxa"/>
            <w:noWrap w:val="0"/>
            <w:vAlign w:val="center"/>
          </w:tcPr>
          <w:p w14:paraId="2EFE3C5F">
            <w:pPr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beforeLines="0" w:afterLines="0" w:line="340" w:lineRule="exact"/>
              <w:jc w:val="left"/>
              <w:rPr>
                <w:rFonts w:hint="eastAsia" w:ascii="Times New Roman" w:hAnsi="Times New Roman" w:eastAsia="方正仿宋_GBK" w:cs="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（一）律师事务所</w:t>
            </w:r>
          </w:p>
          <w:p w14:paraId="5D04EA72">
            <w:pPr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beforeLines="0" w:afterLines="0" w:line="340" w:lineRule="exact"/>
              <w:jc w:val="left"/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  <w:lang w:val="en-US" w:eastAsia="zh-CN"/>
              </w:rPr>
              <w:t>1.律师事务所内部管理制度建设情况（律所章程、执业管理、利益冲突审查、收费财务管理、年度考核、档案管理、印章管理等制度）；</w:t>
            </w:r>
          </w:p>
          <w:p w14:paraId="046D369C">
            <w:pPr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beforeLines="0" w:afterLines="0" w:line="340" w:lineRule="exact"/>
              <w:jc w:val="left"/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  <w:lang w:val="en-US" w:eastAsia="zh-CN"/>
              </w:rPr>
              <w:t>2.律师事务统一接受委托，与委托人签订书面委托合同，按照国家规定统一收取费用并如实入账等承办业务等情况；</w:t>
            </w:r>
          </w:p>
          <w:p w14:paraId="0451F253">
            <w:pPr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beforeLines="0" w:afterLines="0" w:line="340" w:lineRule="exact"/>
              <w:jc w:val="left"/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  <w:lang w:val="en-US" w:eastAsia="zh-CN"/>
              </w:rPr>
              <w:t>3.律师事务所是否保持法定准予设立条件；</w:t>
            </w:r>
          </w:p>
          <w:p w14:paraId="3B2AC919">
            <w:pPr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beforeLines="0" w:afterLines="0" w:line="340" w:lineRule="exact"/>
              <w:jc w:val="left"/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  <w:lang w:eastAsia="zh-CN"/>
              </w:rPr>
              <w:t>律师事务所</w:t>
            </w:r>
            <w:r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</w:rPr>
              <w:t>是否存在违反法定程序办理变更名称、负责人、章程、合伙协议、住所、合伙人等重大事项的违法行为；</w:t>
            </w:r>
          </w:p>
          <w:p w14:paraId="7F233B8E">
            <w:pPr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beforeLines="0" w:afterLines="0" w:line="340" w:lineRule="exact"/>
              <w:jc w:val="left"/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  <w:lang w:eastAsia="zh-CN"/>
              </w:rPr>
              <w:t>律师事务所</w:t>
            </w:r>
            <w:r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</w:rPr>
              <w:t>是否存在从事法律服务以外的经营活动的违法行为；</w:t>
            </w:r>
          </w:p>
          <w:p w14:paraId="427C7707">
            <w:pPr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beforeLines="0" w:afterLines="0" w:line="340" w:lineRule="exact"/>
              <w:jc w:val="left"/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  <w:lang w:val="en-US" w:eastAsia="zh-CN"/>
              </w:rPr>
              <w:t>6.</w:t>
            </w:r>
            <w:r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  <w:lang w:eastAsia="zh-CN"/>
              </w:rPr>
              <w:t>律师事务所</w:t>
            </w:r>
            <w:r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</w:rPr>
              <w:t>是否存在违反公平竞争、低价收费、以诋毁其他律师事务所、律师或者支付介绍费等不正当手段承揽业务的违法行为</w:t>
            </w:r>
            <w:r>
              <w:rPr>
                <w:rFonts w:hint="eastAsia" w:ascii="Times New Roman" w:hAnsi="Times New Roman" w:eastAsia="方正仿宋_GBK" w:cs="仿宋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25376E3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（二）律师</w:t>
            </w:r>
          </w:p>
          <w:p w14:paraId="2BA3F6B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是否存在代理不尽责等情况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</w:p>
          <w:p w14:paraId="374BACD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对代理案件是否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按照卷宗材料的收集、整理和排列顺序立卷归档；</w:t>
            </w:r>
          </w:p>
          <w:p w14:paraId="676D5CA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是否存在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专职执业律师违规兼职或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同时在两个律师事务所执业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情况；</w:t>
            </w:r>
          </w:p>
          <w:p w14:paraId="628A667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是否存在从人民法院、人民检察院离任后二年内担任诉讼代理人或者辩护人的违法行为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</w:p>
          <w:p w14:paraId="0C2E4304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是否存在利用提供法律服务的便利牟取当事人争议的权益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、私自接受委托、私自收取费用等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违法行为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</w:p>
          <w:p w14:paraId="656A994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rPr>
                <w:rFonts w:hint="eastAsia" w:ascii="Times New Roman" w:hAnsi="Times New Roman" w:eastAsia="方正仿宋_GBK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是否存在违反规定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与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法官、检察官、仲裁员以及其他有关工作人员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不正当交往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，或者以其他不正当方式影响依法办理案件的违法行为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168" w:type="dxa"/>
            <w:noWrap w:val="0"/>
            <w:vAlign w:val="center"/>
          </w:tcPr>
          <w:p w14:paraId="129A424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20" w:lineRule="exact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全区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律师事务所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包含被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抽查律师事务所的律师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080" w:type="dxa"/>
            <w:noWrap w:val="0"/>
            <w:vAlign w:val="center"/>
          </w:tcPr>
          <w:p w14:paraId="0D1B2EA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20" w:lineRule="exact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908" w:type="dxa"/>
            <w:noWrap w:val="0"/>
            <w:vAlign w:val="center"/>
          </w:tcPr>
          <w:p w14:paraId="2CC1571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20" w:lineRule="exact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2—12月</w:t>
            </w:r>
          </w:p>
        </w:tc>
      </w:tr>
      <w:tr w14:paraId="2A6DD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1" w:hRule="atLeast"/>
        </w:trPr>
        <w:tc>
          <w:tcPr>
            <w:tcW w:w="534" w:type="dxa"/>
            <w:noWrap w:val="0"/>
            <w:vAlign w:val="center"/>
          </w:tcPr>
          <w:p w14:paraId="2415391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42" w:type="dxa"/>
            <w:noWrap w:val="0"/>
            <w:vAlign w:val="center"/>
          </w:tcPr>
          <w:p w14:paraId="5EFA705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仿宋"/>
                <w:color w:val="000000"/>
                <w:kern w:val="0"/>
                <w:sz w:val="24"/>
                <w:szCs w:val="24"/>
                <w:lang w:val="en" w:eastAsia="zh-CN"/>
              </w:rPr>
              <w:t>202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5年度区司法局随机抽查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4"/>
                <w:szCs w:val="24"/>
                <w:lang w:eastAsia="zh-CN"/>
              </w:rPr>
              <w:t>基层法律服务所</w:t>
            </w: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、基层法律服务工作者</w:t>
            </w:r>
          </w:p>
        </w:tc>
        <w:tc>
          <w:tcPr>
            <w:tcW w:w="8461" w:type="dxa"/>
            <w:noWrap w:val="0"/>
            <w:vAlign w:val="center"/>
          </w:tcPr>
          <w:p w14:paraId="5591AF1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（一）基层法律服务所</w:t>
            </w:r>
          </w:p>
          <w:p w14:paraId="60CFBF4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．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基层法律服务所实际住所地与登记信息是否一致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，是否在注册登记地以外的场所设立办公场所；</w:t>
            </w:r>
          </w:p>
          <w:p w14:paraId="44597D3E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．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基层法律服务所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是否存在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以贬损他人、抬高自己、虚假承诺或者支付介绍费等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不正当手段承揽业务的情况；</w:t>
            </w:r>
          </w:p>
          <w:p w14:paraId="203EC647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．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基层法律服务所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  <w:t>是否统一收案、统一委派、与委托人签订书面委托合同、按照国家规定统一收取费用、开具发票等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</w:p>
          <w:p w14:paraId="246D54DA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．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建立健全执业管理、利益冲突审查、收费与财务管理、投诉查处、年度考核、档案管理等制度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</w:p>
          <w:p w14:paraId="7ED5A90D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 xml:space="preserve">5. 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从事法律服务以外的经营活动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、是否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冒用律师事务所名义执业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</w:p>
          <w:p w14:paraId="3C113F79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．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基层法律服务所是否存在</w:t>
            </w: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</w:rPr>
              <w:t>超越业务范围和诉讼代理执业区域的</w:t>
            </w: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eastAsia="zh-CN"/>
              </w:rPr>
              <w:t>。</w:t>
            </w:r>
          </w:p>
          <w:p w14:paraId="0851C72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eastAsia="zh-CN"/>
              </w:rPr>
              <w:t>（二）基层法律服务工作者</w:t>
            </w:r>
          </w:p>
          <w:p w14:paraId="5590FCF5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．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是否存在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私自接受委托、收取费用，接受委托人的财物或者其他利益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的情况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；</w:t>
            </w:r>
          </w:p>
          <w:p w14:paraId="22B7386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．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是否存在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利用提供法律服务便利非法牟取当事人争议的权益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的情况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；</w:t>
            </w:r>
          </w:p>
          <w:p w14:paraId="2D1FF35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．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是否存在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违反规定会见法官、检察官、仲裁员以及其他有关工作人员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不正当交往等情况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；</w:t>
            </w:r>
          </w:p>
          <w:p w14:paraId="7E3577E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．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基层法律服务工作者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是否在同一案件中为双方当事人担任代理人，代理与本人或者其近亲属有利益冲突的对方当事人的法律事务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</w:p>
          <w:p w14:paraId="4C70F63B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40" w:lineRule="exac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对代理案件是否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按照卷宗材料的收集、整理和排列顺序立卷归档。</w:t>
            </w:r>
          </w:p>
        </w:tc>
        <w:tc>
          <w:tcPr>
            <w:tcW w:w="1168" w:type="dxa"/>
            <w:noWrap w:val="0"/>
            <w:vAlign w:val="center"/>
          </w:tcPr>
          <w:p w14:paraId="55FAF453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20" w:lineRule="exact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全区基层法律服务所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包含被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抽查基层法律服务所的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基层法律服务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工作者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080" w:type="dxa"/>
            <w:noWrap w:val="0"/>
            <w:vAlign w:val="center"/>
          </w:tcPr>
          <w:p w14:paraId="36D09DDC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20" w:lineRule="exact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908" w:type="dxa"/>
            <w:noWrap w:val="0"/>
            <w:vAlign w:val="center"/>
          </w:tcPr>
          <w:p w14:paraId="6E063FF0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FFFFFF"/>
              <w:spacing w:line="320" w:lineRule="exact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szCs w:val="24"/>
                <w:lang w:val="en-US" w:eastAsia="zh-CN"/>
              </w:rPr>
              <w:t>2—12月</w:t>
            </w:r>
          </w:p>
        </w:tc>
      </w:tr>
    </w:tbl>
    <w:p w14:paraId="51CC494E">
      <w:pPr>
        <w:rPr>
          <w:rFonts w:hint="default" w:ascii="Times New Roman" w:hAnsi="Times New Roman"/>
          <w:lang w:val="en-US" w:eastAsia="zh-CN"/>
        </w:rPr>
      </w:pPr>
    </w:p>
    <w:sectPr>
      <w:pgSz w:w="16838" w:h="11906" w:orient="landscape"/>
      <w:pgMar w:top="1531" w:right="2098" w:bottom="1531" w:left="1984" w:header="851" w:footer="161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E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6AE235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867D04">
                          <w:pPr>
                            <w:pStyle w:val="7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ascii="宋体" w:hAnsi="宋体"/>
                              <w:sz w:val="32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867D04">
                    <w:pPr>
                      <w:pStyle w:val="7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ascii="宋体" w:hAnsi="宋体"/>
                        <w:sz w:val="32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wZTUzNzhjMWVhZjc2M2Q5MjZmY2Y1NDM4YzNjMGUifQ=="/>
  </w:docVars>
  <w:rsids>
    <w:rsidRoot w:val="16670D89"/>
    <w:rsid w:val="002235CA"/>
    <w:rsid w:val="02740319"/>
    <w:rsid w:val="037C75BE"/>
    <w:rsid w:val="047C327F"/>
    <w:rsid w:val="05085485"/>
    <w:rsid w:val="05145BD8"/>
    <w:rsid w:val="05854A82"/>
    <w:rsid w:val="06232631"/>
    <w:rsid w:val="06C43876"/>
    <w:rsid w:val="07705F1C"/>
    <w:rsid w:val="09187E44"/>
    <w:rsid w:val="0BC11178"/>
    <w:rsid w:val="0C072E8F"/>
    <w:rsid w:val="0D9D77AF"/>
    <w:rsid w:val="0E1A461C"/>
    <w:rsid w:val="137E6165"/>
    <w:rsid w:val="14E1184E"/>
    <w:rsid w:val="16670D89"/>
    <w:rsid w:val="195E027E"/>
    <w:rsid w:val="197B77C6"/>
    <w:rsid w:val="1A147ADD"/>
    <w:rsid w:val="1A2B408A"/>
    <w:rsid w:val="1A3950A3"/>
    <w:rsid w:val="1D4B1511"/>
    <w:rsid w:val="1D534FA3"/>
    <w:rsid w:val="20032D7B"/>
    <w:rsid w:val="21E706A2"/>
    <w:rsid w:val="227A2298"/>
    <w:rsid w:val="230A4E08"/>
    <w:rsid w:val="23771C9A"/>
    <w:rsid w:val="24C65452"/>
    <w:rsid w:val="254B09DC"/>
    <w:rsid w:val="28894BBF"/>
    <w:rsid w:val="290C4CAB"/>
    <w:rsid w:val="2C434386"/>
    <w:rsid w:val="2D550A44"/>
    <w:rsid w:val="306647CE"/>
    <w:rsid w:val="315700A3"/>
    <w:rsid w:val="350A2BC4"/>
    <w:rsid w:val="367B4D4D"/>
    <w:rsid w:val="378B05E3"/>
    <w:rsid w:val="38C83236"/>
    <w:rsid w:val="3AAB2D71"/>
    <w:rsid w:val="3FFF0C57"/>
    <w:rsid w:val="41AA69A0"/>
    <w:rsid w:val="449F0B7C"/>
    <w:rsid w:val="45613227"/>
    <w:rsid w:val="458610DE"/>
    <w:rsid w:val="4621074C"/>
    <w:rsid w:val="46E61895"/>
    <w:rsid w:val="473C082B"/>
    <w:rsid w:val="47C95456"/>
    <w:rsid w:val="4A366EF7"/>
    <w:rsid w:val="4B6C725E"/>
    <w:rsid w:val="4C794E06"/>
    <w:rsid w:val="4EC15329"/>
    <w:rsid w:val="4F066ED9"/>
    <w:rsid w:val="54D10E25"/>
    <w:rsid w:val="573963A5"/>
    <w:rsid w:val="57D70225"/>
    <w:rsid w:val="58AA3370"/>
    <w:rsid w:val="5BC54BE6"/>
    <w:rsid w:val="5CE17E22"/>
    <w:rsid w:val="5D2354D7"/>
    <w:rsid w:val="5ED9639C"/>
    <w:rsid w:val="5F3876D3"/>
    <w:rsid w:val="5FB2647F"/>
    <w:rsid w:val="624E0C6E"/>
    <w:rsid w:val="62A173E0"/>
    <w:rsid w:val="63BA7A03"/>
    <w:rsid w:val="666F1DE3"/>
    <w:rsid w:val="68102598"/>
    <w:rsid w:val="6A9575B4"/>
    <w:rsid w:val="6C5D448C"/>
    <w:rsid w:val="708644BD"/>
    <w:rsid w:val="75CB372A"/>
    <w:rsid w:val="775C7124"/>
    <w:rsid w:val="779B1766"/>
    <w:rsid w:val="78324A1E"/>
    <w:rsid w:val="790A508E"/>
    <w:rsid w:val="7D9046C1"/>
    <w:rsid w:val="7E100035"/>
    <w:rsid w:val="7ED30767"/>
    <w:rsid w:val="7F567244"/>
    <w:rsid w:val="7F66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432" w:lineRule="auto"/>
      <w:jc w:val="left"/>
      <w:outlineLvl w:val="0"/>
    </w:pPr>
    <w:rPr>
      <w:rFonts w:ascii="宋体" w:hAnsi="宋体"/>
      <w:b/>
      <w:kern w:val="44"/>
      <w:sz w:val="18"/>
      <w:szCs w:val="18"/>
      <w:lang w:val="zh-CN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left="320" w:leftChars="100" w:right="320" w:rightChars="100" w:firstLine="0" w:firstLineChars="0"/>
      <w:outlineLvl w:val="3"/>
    </w:pPr>
    <w:rPr>
      <w:rFonts w:ascii="Times New Roman" w:hAnsi="Times New Roman" w:eastAsia="Times New Roman"/>
      <w:sz w:val="28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33"/>
      <w:szCs w:val="33"/>
    </w:rPr>
  </w:style>
  <w:style w:type="paragraph" w:styleId="5">
    <w:name w:val="Body Text Indent"/>
    <w:basedOn w:val="1"/>
    <w:next w:val="1"/>
    <w:qFormat/>
    <w:uiPriority w:val="0"/>
    <w:pPr>
      <w:ind w:firstLine="200" w:firstLineChars="200"/>
    </w:pPr>
    <w:rPr>
      <w:sz w:val="32"/>
    </w:rPr>
  </w:style>
  <w:style w:type="paragraph" w:styleId="6">
    <w:name w:val="toc 5"/>
    <w:next w:val="1"/>
    <w:qFormat/>
    <w:uiPriority w:val="0"/>
    <w:pPr>
      <w:widowControl w:val="0"/>
      <w:ind w:left="1680" w:leftChars="80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0"/>
  </w:style>
  <w:style w:type="character" w:styleId="16">
    <w:name w:val="FollowedHyperlink"/>
    <w:basedOn w:val="13"/>
    <w:qFormat/>
    <w:uiPriority w:val="0"/>
    <w:rPr>
      <w:color w:val="800080"/>
      <w:u w:val="none"/>
    </w:rPr>
  </w:style>
  <w:style w:type="character" w:styleId="17">
    <w:name w:val="Hyperlink"/>
    <w:basedOn w:val="13"/>
    <w:qFormat/>
    <w:uiPriority w:val="0"/>
    <w:rPr>
      <w:color w:val="0000FF"/>
      <w:u w:val="none"/>
    </w:rPr>
  </w:style>
  <w:style w:type="paragraph" w:customStyle="1" w:styleId="18">
    <w:name w:val="Default"/>
    <w:basedOn w:val="1"/>
    <w:next w:val="1"/>
    <w:qFormat/>
    <w:uiPriority w:val="0"/>
    <w:pPr>
      <w:widowControl/>
      <w:autoSpaceDE w:val="0"/>
      <w:autoSpaceDN w:val="0"/>
      <w:adjustRightInd w:val="0"/>
      <w:jc w:val="left"/>
    </w:pPr>
    <w:rPr>
      <w:rFonts w:ascii="Arial" w:hAnsi="Arial" w:eastAsia="宋体" w:cs="Arial"/>
      <w:color w:val="000000"/>
      <w:kern w:val="0"/>
      <w:sz w:val="24"/>
      <w:szCs w:val="24"/>
    </w:rPr>
  </w:style>
  <w:style w:type="paragraph" w:customStyle="1" w:styleId="19">
    <w:name w:val="样式 方正小标宋_GBK 二号 居中 行距: 固定值 30 磅"/>
    <w:basedOn w:val="3"/>
    <w:qFormat/>
    <w:uiPriority w:val="0"/>
    <w:pPr>
      <w:keepNext w:val="0"/>
      <w:widowControl w:val="0"/>
      <w:spacing w:after="0" w:afterLines="0" w:line="600" w:lineRule="exact"/>
      <w:jc w:val="center"/>
    </w:pPr>
    <w:rPr>
      <w:rFonts w:ascii="方正小标宋_GBK" w:hAnsi="方正小标宋_GBK" w:eastAsia="方正小标宋_GBK" w:cs="宋体"/>
      <w:b w:val="0"/>
      <w:spacing w:val="0"/>
      <w:kern w:val="2"/>
      <w:sz w:val="44"/>
      <w:lang w:eastAsia="zh-CN"/>
    </w:rPr>
  </w:style>
  <w:style w:type="paragraph" w:customStyle="1" w:styleId="20">
    <w:name w:val="默认"/>
    <w:qFormat/>
    <w:uiPriority w:val="0"/>
    <w:rPr>
      <w:rFonts w:ascii="Helvetica" w:hAnsi="Helvetica" w:eastAsia="Helvetica" w:cs="Times New Roman"/>
      <w:color w:val="000000"/>
      <w:sz w:val="22"/>
      <w:szCs w:val="22"/>
      <w:lang w:val="en-US" w:eastAsia="zh-CN" w:bidi="ar-SA"/>
    </w:rPr>
  </w:style>
  <w:style w:type="paragraph" w:customStyle="1" w:styleId="21">
    <w:name w:val="索引 51"/>
    <w:basedOn w:val="1"/>
    <w:next w:val="1"/>
    <w:qFormat/>
    <w:uiPriority w:val="0"/>
    <w:pPr>
      <w:ind w:left="1680"/>
    </w:pPr>
  </w:style>
  <w:style w:type="character" w:customStyle="1" w:styleId="22">
    <w:name w:val="a_p_2"/>
    <w:basedOn w:val="13"/>
    <w:qFormat/>
    <w:uiPriority w:val="0"/>
  </w:style>
  <w:style w:type="character" w:customStyle="1" w:styleId="23">
    <w:name w:val="a_p_21"/>
    <w:basedOn w:val="13"/>
    <w:qFormat/>
    <w:uiPriority w:val="0"/>
    <w:rPr>
      <w:sz w:val="27"/>
      <w:szCs w:val="27"/>
    </w:rPr>
  </w:style>
  <w:style w:type="character" w:customStyle="1" w:styleId="24">
    <w:name w:val="exap"/>
    <w:basedOn w:val="13"/>
    <w:qFormat/>
    <w:uiPriority w:val="0"/>
    <w:rPr>
      <w:sz w:val="27"/>
      <w:szCs w:val="27"/>
    </w:rPr>
  </w:style>
  <w:style w:type="character" w:customStyle="1" w:styleId="25">
    <w:name w:val="ul_li_a_1"/>
    <w:basedOn w:val="13"/>
    <w:qFormat/>
    <w:uiPriority w:val="0"/>
    <w:rPr>
      <w:b/>
      <w:bCs/>
      <w:color w:val="FFFFFF"/>
    </w:rPr>
  </w:style>
  <w:style w:type="character" w:customStyle="1" w:styleId="26">
    <w:name w:val="a_p_3"/>
    <w:basedOn w:val="13"/>
    <w:qFormat/>
    <w:uiPriority w:val="0"/>
    <w:rPr>
      <w:sz w:val="27"/>
      <w:szCs w:val="27"/>
    </w:rPr>
  </w:style>
  <w:style w:type="character" w:customStyle="1" w:styleId="27">
    <w:name w:val="a_p_1"/>
    <w:basedOn w:val="13"/>
    <w:qFormat/>
    <w:uiPriority w:val="0"/>
    <w:rPr>
      <w:sz w:val="27"/>
      <w:szCs w:val="27"/>
    </w:rPr>
  </w:style>
  <w:style w:type="character" w:customStyle="1" w:styleId="28">
    <w:name w:val="wap-cont"/>
    <w:basedOn w:val="13"/>
    <w:qFormat/>
    <w:uiPriority w:val="0"/>
  </w:style>
  <w:style w:type="character" w:customStyle="1" w:styleId="29">
    <w:name w:val="last-child"/>
    <w:basedOn w:val="13"/>
    <w:qFormat/>
    <w:uiPriority w:val="0"/>
    <w:rPr>
      <w:color w:val="333333"/>
    </w:rPr>
  </w:style>
  <w:style w:type="paragraph" w:customStyle="1" w:styleId="30">
    <w:name w:val="tit"/>
    <w:basedOn w:val="1"/>
    <w:qFormat/>
    <w:uiPriority w:val="0"/>
    <w:pPr>
      <w:jc w:val="left"/>
    </w:pPr>
    <w:rPr>
      <w:b/>
      <w:bCs/>
      <w:color w:val="333333"/>
      <w:kern w:val="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839</Words>
  <Characters>952</Characters>
  <Lines>0</Lines>
  <Paragraphs>0</Paragraphs>
  <TotalTime>2</TotalTime>
  <ScaleCrop>false</ScaleCrop>
  <LinksUpToDate>false</LinksUpToDate>
  <CharactersWithSpaces>952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2020-12-01T03:00:00Z</dcterms:created>
  <dc:creator>何荣玢</dc:creator>
  <cp:lastModifiedBy>陈阳明</cp:lastModifiedBy>
  <cp:lastPrinted>2025-01-13T08:25:00Z</cp:lastPrinted>
  <dcterms:modified xsi:type="dcterms:W3CDTF">2025-01-14T08:22:09Z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D9D119AB64BD4C6BBD6B9B817E00C958_13</vt:lpwstr>
  </property>
  <property fmtid="{D5CDD505-2E9C-101B-9397-08002B2CF9AE}" pid="4" name="KSOTemplateDocerSaveRecord">
    <vt:lpwstr>eyJoZGlkIjoiNjAzNjFiYTNiNDBlNzI0YjViZjYyMmMzNGE2M2QwNjkiLCJ1c2VySWQiOiIxMDMxNzMwNjM2In0=</vt:lpwstr>
  </property>
</Properties>
</file>