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240" w:lineRule="auto"/>
        <w:jc w:val="center"/>
        <w:rPr>
          <w:color w:val="000000"/>
          <w:sz w:val="32"/>
          <w:szCs w:val="32"/>
        </w:rPr>
      </w:pPr>
      <w:bookmarkStart w:id="0" w:name="_Toc436221575"/>
      <w:r>
        <w:rPr>
          <w:rFonts w:hint="eastAsia"/>
          <w:color w:val="000000"/>
          <w:sz w:val="32"/>
          <w:szCs w:val="32"/>
        </w:rPr>
        <w:t>老年人健康管理服务规范</w:t>
      </w:r>
      <w:bookmarkEnd w:id="0"/>
    </w:p>
    <w:p>
      <w:pPr>
        <w:adjustRightInd w:val="0"/>
        <w:snapToGrid w:val="0"/>
        <w:spacing w:line="400" w:lineRule="exact"/>
        <w:ind w:firstLine="480" w:firstLineChars="200"/>
        <w:rPr>
          <w:rFonts w:ascii="黑体" w:hAnsi="宋体" w:eastAsia="黑体"/>
          <w:color w:val="000000"/>
          <w:sz w:val="24"/>
          <w:szCs w:val="24"/>
        </w:rPr>
      </w:pPr>
      <w:r>
        <w:rPr>
          <w:rFonts w:hint="eastAsia" w:ascii="黑体" w:hAnsi="宋体" w:eastAsia="黑体"/>
          <w:color w:val="000000"/>
          <w:sz w:val="24"/>
          <w:szCs w:val="24"/>
        </w:rPr>
        <w:t>一、服务对象</w:t>
      </w:r>
    </w:p>
    <w:p>
      <w:pPr>
        <w:adjustRightInd w:val="0"/>
        <w:snapToGrid w:val="0"/>
        <w:spacing w:line="400" w:lineRule="exact"/>
        <w:ind w:firstLine="480" w:firstLineChars="200"/>
        <w:rPr>
          <w:rFonts w:ascii="仿宋_GB2312" w:hAnsi="宋体"/>
          <w:color w:val="000000"/>
          <w:sz w:val="24"/>
          <w:szCs w:val="24"/>
        </w:rPr>
      </w:pPr>
      <w:r>
        <w:rPr>
          <w:rFonts w:hint="eastAsia" w:ascii="仿宋_GB2312" w:hAnsi="宋体"/>
          <w:color w:val="000000"/>
          <w:sz w:val="24"/>
          <w:szCs w:val="24"/>
        </w:rPr>
        <w:t>辖区内65岁及以上常住居民。</w:t>
      </w:r>
    </w:p>
    <w:p>
      <w:pPr>
        <w:adjustRightInd w:val="0"/>
        <w:snapToGrid w:val="0"/>
        <w:spacing w:line="400" w:lineRule="exact"/>
        <w:ind w:firstLine="480" w:firstLineChars="200"/>
        <w:rPr>
          <w:rFonts w:ascii="黑体" w:hAnsi="宋体" w:eastAsia="黑体"/>
          <w:color w:val="000000"/>
          <w:sz w:val="24"/>
          <w:szCs w:val="24"/>
        </w:rPr>
      </w:pPr>
      <w:r>
        <w:rPr>
          <w:rFonts w:hint="eastAsia" w:ascii="黑体" w:hAnsi="宋体" w:eastAsia="黑体"/>
          <w:color w:val="000000"/>
          <w:sz w:val="24"/>
          <w:szCs w:val="24"/>
        </w:rPr>
        <w:t>二、服务内容</w:t>
      </w:r>
    </w:p>
    <w:p>
      <w:pPr>
        <w:adjustRightInd w:val="0"/>
        <w:snapToGrid w:val="0"/>
        <w:spacing w:line="400" w:lineRule="exact"/>
        <w:ind w:firstLine="480" w:firstLineChars="200"/>
        <w:rPr>
          <w:rFonts w:ascii="仿宋_GB2312" w:hAnsi="宋体"/>
          <w:color w:val="000000"/>
          <w:sz w:val="24"/>
          <w:szCs w:val="24"/>
        </w:rPr>
      </w:pPr>
      <w:r>
        <w:rPr>
          <w:rFonts w:hint="eastAsia" w:ascii="仿宋_GB2312" w:hAnsi="宋体"/>
          <w:color w:val="000000"/>
          <w:sz w:val="24"/>
          <w:szCs w:val="24"/>
        </w:rPr>
        <w:t>每年为老年人提供1次健康管理服务，包括生活方式和健康状况评估、体格检查、辅助检查和健康指导。</w:t>
      </w:r>
    </w:p>
    <w:p>
      <w:pPr>
        <w:adjustRightInd w:val="0"/>
        <w:snapToGrid w:val="0"/>
        <w:spacing w:line="400" w:lineRule="exact"/>
        <w:ind w:firstLine="480" w:firstLineChars="200"/>
        <w:rPr>
          <w:rFonts w:ascii="仿宋_GB2312" w:hAnsi="宋体"/>
          <w:color w:val="000000"/>
          <w:sz w:val="24"/>
          <w:szCs w:val="24"/>
        </w:rPr>
      </w:pPr>
      <w:r>
        <w:rPr>
          <w:rFonts w:hint="eastAsia" w:ascii="仿宋_GB2312" w:hAnsi="宋体"/>
          <w:color w:val="000000"/>
          <w:sz w:val="24"/>
          <w:szCs w:val="24"/>
        </w:rPr>
        <w:t>（一）生活方式和健康状况评估。通过问诊及老年人健康状态自评了解其基本健康状况、体育锻炼、饮食、吸烟、饮酒、慢性疾病常见症状、既往所患疾病、治疗及目前用药和生活自理能力等情况。</w:t>
      </w:r>
    </w:p>
    <w:p>
      <w:pPr>
        <w:adjustRightInd w:val="0"/>
        <w:snapToGrid w:val="0"/>
        <w:spacing w:line="400" w:lineRule="exact"/>
        <w:ind w:firstLine="480" w:firstLineChars="200"/>
        <w:rPr>
          <w:rFonts w:ascii="仿宋_GB2312" w:hAnsi="宋体"/>
          <w:color w:val="000000"/>
          <w:sz w:val="24"/>
          <w:szCs w:val="24"/>
        </w:rPr>
      </w:pPr>
      <w:r>
        <w:rPr>
          <w:rFonts w:hint="eastAsia" w:ascii="仿宋_GB2312" w:hAnsi="宋体"/>
          <w:color w:val="000000"/>
          <w:sz w:val="24"/>
          <w:szCs w:val="24"/>
        </w:rPr>
        <w:t>（二）体格检查。包括体温、脉搏、呼吸、血压、身高、体重、腰围、皮肤、浅表淋巴结、肺部、心脏、腹部等常规体格检查，并对口腔、视力、听力和运动功能等进行粗测判断。</w:t>
      </w:r>
    </w:p>
    <w:p>
      <w:pPr>
        <w:adjustRightInd w:val="0"/>
        <w:snapToGrid w:val="0"/>
        <w:spacing w:line="400" w:lineRule="exact"/>
        <w:ind w:firstLine="480" w:firstLineChars="200"/>
        <w:rPr>
          <w:rFonts w:ascii="仿宋_GB2312" w:hAnsi="宋体"/>
          <w:color w:val="000000"/>
          <w:sz w:val="24"/>
          <w:szCs w:val="24"/>
        </w:rPr>
      </w:pPr>
      <w:r>
        <w:rPr>
          <w:rFonts w:hint="eastAsia" w:ascii="仿宋_GB2312" w:hAnsi="宋体"/>
          <w:color w:val="000000"/>
          <w:sz w:val="24"/>
          <w:szCs w:val="24"/>
        </w:rPr>
        <w:t>（三）辅助检查。包括血常规、尿常规、肝功能（血清谷草转氨酶、血清谷丙转氨酶和总胆红素）、肾功能（血清肌酐和血尿素）、空腹血糖、血脂（总胆固醇、甘油三酯、低密度脂蛋白胆固醇、高密度脂蛋白胆固醇）、心电图和腹部B超（肝胆胰脾）检查。</w:t>
      </w:r>
    </w:p>
    <w:p>
      <w:pPr>
        <w:adjustRightInd w:val="0"/>
        <w:snapToGrid w:val="0"/>
        <w:spacing w:line="400" w:lineRule="exact"/>
        <w:ind w:firstLine="480" w:firstLineChars="200"/>
        <w:rPr>
          <w:rFonts w:ascii="仿宋_GB2312" w:hAnsi="宋体"/>
          <w:color w:val="000000"/>
          <w:sz w:val="24"/>
          <w:szCs w:val="24"/>
        </w:rPr>
      </w:pPr>
      <w:r>
        <w:rPr>
          <w:rFonts w:hint="eastAsia" w:ascii="仿宋_GB2312" w:hAnsi="宋体"/>
          <w:color w:val="000000"/>
          <w:sz w:val="24"/>
          <w:szCs w:val="24"/>
        </w:rPr>
        <w:t>（四）健康指导。告知评价结果并进行相应健康指导。</w:t>
      </w:r>
    </w:p>
    <w:p>
      <w:pPr>
        <w:adjustRightInd w:val="0"/>
        <w:snapToGrid w:val="0"/>
        <w:spacing w:line="400" w:lineRule="exact"/>
        <w:ind w:firstLine="480" w:firstLineChars="200"/>
        <w:rPr>
          <w:rFonts w:ascii="仿宋_GB2312" w:hAnsi="宋体"/>
          <w:color w:val="000000"/>
          <w:sz w:val="24"/>
          <w:szCs w:val="24"/>
        </w:rPr>
      </w:pPr>
      <w:r>
        <w:rPr>
          <w:rFonts w:hint="eastAsia" w:ascii="仿宋_GB2312" w:hAnsi="宋体"/>
          <w:color w:val="000000"/>
          <w:sz w:val="24"/>
          <w:szCs w:val="24"/>
        </w:rPr>
        <w:t>1.对发现已确诊的原发性高血压和2型糖尿病等患者同时开展相应的慢性病患者健康管理。</w:t>
      </w:r>
    </w:p>
    <w:p>
      <w:pPr>
        <w:adjustRightInd w:val="0"/>
        <w:snapToGrid w:val="0"/>
        <w:spacing w:line="400" w:lineRule="exact"/>
        <w:ind w:firstLine="480" w:firstLineChars="200"/>
        <w:rPr>
          <w:rFonts w:ascii="仿宋_GB2312" w:hAnsi="宋体"/>
          <w:color w:val="000000"/>
          <w:sz w:val="24"/>
          <w:szCs w:val="24"/>
        </w:rPr>
      </w:pPr>
      <w:r>
        <w:rPr>
          <w:rFonts w:hint="eastAsia" w:ascii="仿宋_GB2312" w:hAnsi="宋体"/>
          <w:color w:val="000000"/>
          <w:sz w:val="24"/>
          <w:szCs w:val="24"/>
        </w:rPr>
        <w:t>2.对患有其他疾病的(非高血压或糖尿病)，应及时治疗或转诊。</w:t>
      </w:r>
    </w:p>
    <w:p>
      <w:pPr>
        <w:adjustRightInd w:val="0"/>
        <w:snapToGrid w:val="0"/>
        <w:spacing w:line="400" w:lineRule="exact"/>
        <w:ind w:firstLine="480" w:firstLineChars="200"/>
        <w:rPr>
          <w:rFonts w:ascii="仿宋_GB2312" w:hAnsi="宋体"/>
          <w:color w:val="000000"/>
          <w:sz w:val="24"/>
          <w:szCs w:val="24"/>
        </w:rPr>
      </w:pPr>
      <w:r>
        <w:rPr>
          <w:rFonts w:hint="eastAsia" w:ascii="仿宋_GB2312" w:hAnsi="宋体"/>
          <w:color w:val="000000"/>
          <w:sz w:val="24"/>
          <w:szCs w:val="24"/>
        </w:rPr>
        <w:t>3.对发现有异常的老年人建议定期复查或向上级医疗机构转诊。</w:t>
      </w:r>
    </w:p>
    <w:p>
      <w:pPr>
        <w:adjustRightInd w:val="0"/>
        <w:snapToGrid w:val="0"/>
        <w:spacing w:line="400" w:lineRule="exact"/>
        <w:ind w:firstLine="480" w:firstLineChars="200"/>
        <w:rPr>
          <w:rFonts w:ascii="仿宋_GB2312" w:hAnsi="宋体"/>
          <w:color w:val="000000"/>
          <w:sz w:val="24"/>
          <w:szCs w:val="24"/>
        </w:rPr>
      </w:pPr>
      <w:r>
        <w:rPr>
          <w:rFonts w:hint="eastAsia" w:ascii="仿宋_GB2312" w:hAnsi="宋体"/>
          <w:color w:val="000000"/>
          <w:sz w:val="24"/>
          <w:szCs w:val="24"/>
        </w:rPr>
        <w:t>4.进行健康生活方式以及疫苗接种、骨质疏松预防、防跌倒措施、意外伤害预防和自救、认知和情感等健康指导。</w:t>
      </w:r>
    </w:p>
    <w:p>
      <w:pPr>
        <w:adjustRightInd w:val="0"/>
        <w:snapToGrid w:val="0"/>
        <w:spacing w:line="400" w:lineRule="exact"/>
        <w:ind w:firstLine="480" w:firstLineChars="200"/>
        <w:rPr>
          <w:rFonts w:hint="eastAsia" w:ascii="仿宋_GB2312" w:hAnsi="宋体"/>
          <w:color w:val="000000"/>
          <w:sz w:val="24"/>
          <w:szCs w:val="24"/>
        </w:rPr>
      </w:pPr>
      <w:r>
        <w:rPr>
          <w:rFonts w:hint="eastAsia" w:ascii="仿宋_GB2312" w:hAnsi="宋体"/>
          <w:color w:val="000000"/>
          <w:sz w:val="24"/>
          <w:szCs w:val="24"/>
        </w:rPr>
        <w:t>5.告知或预约下一次健康管理服务的时间。</w:t>
      </w:r>
    </w:p>
    <w:p>
      <w:pPr>
        <w:adjustRightInd w:val="0"/>
        <w:snapToGrid w:val="0"/>
        <w:spacing w:line="400" w:lineRule="exact"/>
        <w:ind w:firstLine="480" w:firstLineChars="200"/>
        <w:rPr>
          <w:rFonts w:hint="eastAsia" w:ascii="仿宋_GB2312" w:hAnsi="宋体"/>
          <w:color w:val="000000"/>
          <w:sz w:val="24"/>
          <w:szCs w:val="24"/>
        </w:rPr>
      </w:pPr>
    </w:p>
    <w:p>
      <w:pPr>
        <w:adjustRightInd w:val="0"/>
        <w:snapToGrid w:val="0"/>
        <w:spacing w:line="400" w:lineRule="exact"/>
        <w:ind w:firstLine="480" w:firstLineChars="200"/>
        <w:rPr>
          <w:rFonts w:hint="eastAsia" w:ascii="仿宋_GB2312" w:hAnsi="宋体"/>
          <w:color w:val="000000"/>
          <w:sz w:val="24"/>
          <w:szCs w:val="24"/>
        </w:rPr>
      </w:pPr>
    </w:p>
    <w:p>
      <w:pPr>
        <w:adjustRightInd w:val="0"/>
        <w:snapToGrid w:val="0"/>
        <w:spacing w:line="400" w:lineRule="exact"/>
        <w:ind w:firstLine="480" w:firstLineChars="200"/>
        <w:rPr>
          <w:rFonts w:hint="eastAsia" w:ascii="仿宋_GB2312" w:hAnsi="宋体"/>
          <w:color w:val="000000"/>
          <w:sz w:val="24"/>
          <w:szCs w:val="24"/>
        </w:rPr>
      </w:pPr>
    </w:p>
    <w:p>
      <w:pPr>
        <w:adjustRightInd w:val="0"/>
        <w:snapToGrid w:val="0"/>
        <w:spacing w:line="400" w:lineRule="exact"/>
        <w:ind w:firstLine="480" w:firstLineChars="200"/>
        <w:rPr>
          <w:rFonts w:hint="eastAsia" w:ascii="仿宋_GB2312" w:hAnsi="宋体"/>
          <w:color w:val="000000"/>
          <w:sz w:val="24"/>
          <w:szCs w:val="24"/>
        </w:rPr>
      </w:pPr>
    </w:p>
    <w:p>
      <w:pPr>
        <w:adjustRightInd w:val="0"/>
        <w:snapToGrid w:val="0"/>
        <w:spacing w:line="400" w:lineRule="exact"/>
        <w:ind w:firstLine="480" w:firstLineChars="200"/>
        <w:rPr>
          <w:rFonts w:hint="eastAsia" w:ascii="仿宋_GB2312" w:hAnsi="宋体"/>
          <w:color w:val="000000"/>
          <w:sz w:val="24"/>
          <w:szCs w:val="24"/>
        </w:rPr>
      </w:pPr>
    </w:p>
    <w:p>
      <w:pPr>
        <w:adjustRightInd w:val="0"/>
        <w:snapToGrid w:val="0"/>
        <w:spacing w:line="400" w:lineRule="exact"/>
        <w:ind w:firstLine="480" w:firstLineChars="200"/>
        <w:rPr>
          <w:rFonts w:hint="eastAsia" w:ascii="仿宋_GB2312" w:hAnsi="宋体"/>
          <w:color w:val="000000"/>
          <w:sz w:val="24"/>
          <w:szCs w:val="24"/>
        </w:rPr>
      </w:pPr>
    </w:p>
    <w:p>
      <w:pPr>
        <w:adjustRightInd w:val="0"/>
        <w:snapToGrid w:val="0"/>
        <w:spacing w:line="400" w:lineRule="exact"/>
        <w:ind w:firstLine="480" w:firstLineChars="200"/>
        <w:rPr>
          <w:rFonts w:hint="eastAsia" w:ascii="仿宋_GB2312" w:hAnsi="宋体"/>
          <w:color w:val="000000"/>
          <w:sz w:val="24"/>
          <w:szCs w:val="24"/>
        </w:rPr>
      </w:pPr>
    </w:p>
    <w:p>
      <w:pPr>
        <w:adjustRightInd w:val="0"/>
        <w:snapToGrid w:val="0"/>
        <w:spacing w:line="400" w:lineRule="exact"/>
        <w:ind w:firstLine="480" w:firstLineChars="200"/>
        <w:rPr>
          <w:rFonts w:hint="eastAsia" w:ascii="仿宋_GB2312" w:hAnsi="宋体"/>
          <w:color w:val="000000"/>
          <w:sz w:val="24"/>
          <w:szCs w:val="24"/>
        </w:rPr>
      </w:pPr>
    </w:p>
    <w:p>
      <w:pPr>
        <w:adjustRightInd w:val="0"/>
        <w:snapToGrid w:val="0"/>
        <w:spacing w:line="400" w:lineRule="exact"/>
        <w:ind w:firstLine="480" w:firstLineChars="200"/>
        <w:rPr>
          <w:rFonts w:ascii="仿宋_GB2312" w:hAnsi="宋体"/>
          <w:color w:val="000000"/>
          <w:sz w:val="24"/>
          <w:szCs w:val="24"/>
        </w:rPr>
      </w:pPr>
      <w:r>
        <w:rPr>
          <w:rFonts w:hint="eastAsia" w:ascii="黑体" w:hAnsi="宋体" w:eastAsia="黑体"/>
          <w:color w:val="000000"/>
          <w:sz w:val="24"/>
          <w:szCs w:val="24"/>
        </w:rPr>
        <w:t>三、服务流程</w:t>
      </w:r>
      <w:r>
        <w:rPr>
          <w:rFonts w:hint="eastAsia" w:ascii="仿宋_GB2312" w:hAnsi="宋体"/>
          <w:color w:val="000000"/>
          <w:sz w:val="24"/>
          <w:szCs w:val="24"/>
        </w:rPr>
        <w:t xml:space="preserve"> </w:t>
      </w:r>
    </w:p>
    <w:p>
      <w:pPr>
        <w:adjustRightInd w:val="0"/>
        <w:snapToGrid w:val="0"/>
        <w:rPr>
          <w:color w:val="000000"/>
        </w:rPr>
      </w:pPr>
      <w:r>
        <w:rPr>
          <w:color w:val="000000"/>
        </w:rPr>
        <w:object>
          <v:shape id="_x0000_i1025" o:spt="75" type="#_x0000_t75" style="height:220.2pt;width:416.95pt;" o:ole="t" filled="f" o:preferrelative="t" stroked="f" coordsize="21600,21600">
            <v:path/>
            <v:fill on="f" focussize="0,0"/>
            <v:stroke on="f" joinstyle="miter"/>
            <v:imagedata r:id="rId5" o:title=""/>
            <o:lock v:ext="edit" aspectratio="t"/>
            <w10:wrap type="none"/>
            <w10:anchorlock/>
          </v:shape>
          <o:OLEObject Type="Embed" ProgID="Visio.Drawing.11" ShapeID="_x0000_i1025" DrawAspect="Content" ObjectID="_1468075725" r:id="rId4">
            <o:LockedField>false</o:LockedField>
          </o:OLEObject>
        </w:object>
      </w:r>
      <w:r>
        <w:rPr>
          <w:rFonts w:hint="eastAsia"/>
          <w:color w:val="000000"/>
        </w:rPr>
        <w:t xml:space="preserve">    </w:t>
      </w:r>
    </w:p>
    <w:p>
      <w:pPr>
        <w:adjustRightInd w:val="0"/>
        <w:snapToGrid w:val="0"/>
        <w:ind w:firstLine="480" w:firstLineChars="200"/>
        <w:rPr>
          <w:rFonts w:ascii="黑体" w:hAnsi="宋体" w:eastAsia="黑体"/>
          <w:color w:val="000000"/>
          <w:sz w:val="24"/>
          <w:szCs w:val="24"/>
        </w:rPr>
      </w:pPr>
      <w:r>
        <w:rPr>
          <w:rFonts w:hint="eastAsia" w:ascii="黑体" w:hAnsi="宋体" w:eastAsia="黑体"/>
          <w:color w:val="000000"/>
          <w:sz w:val="24"/>
          <w:szCs w:val="24"/>
        </w:rPr>
        <w:t>四、服务要求</w:t>
      </w:r>
    </w:p>
    <w:p>
      <w:pPr>
        <w:adjustRightInd w:val="0"/>
        <w:snapToGrid w:val="0"/>
        <w:spacing w:line="400" w:lineRule="exact"/>
        <w:ind w:firstLine="480" w:firstLineChars="200"/>
        <w:rPr>
          <w:rFonts w:ascii="仿宋_GB2312" w:hAnsi="宋体"/>
          <w:color w:val="000000"/>
          <w:sz w:val="24"/>
          <w:szCs w:val="24"/>
        </w:rPr>
      </w:pPr>
      <w:r>
        <w:rPr>
          <w:rFonts w:hint="eastAsia" w:ascii="仿宋_GB2312" w:hAnsi="宋体"/>
          <w:color w:val="000000"/>
          <w:sz w:val="24"/>
          <w:szCs w:val="24"/>
        </w:rPr>
        <w:t>（一）开展老年人健康管理服务的乡镇卫生院和社区卫生服务中心应当具备服务内容所需的基本设备和条件。</w:t>
      </w:r>
    </w:p>
    <w:p>
      <w:pPr>
        <w:adjustRightInd w:val="0"/>
        <w:snapToGrid w:val="0"/>
        <w:spacing w:line="400" w:lineRule="exact"/>
        <w:ind w:firstLine="480" w:firstLineChars="200"/>
        <w:rPr>
          <w:rFonts w:ascii="仿宋_GB2312" w:hAnsi="宋体"/>
          <w:color w:val="000000"/>
          <w:sz w:val="24"/>
          <w:szCs w:val="24"/>
        </w:rPr>
      </w:pPr>
      <w:r>
        <w:rPr>
          <w:rFonts w:hint="eastAsia" w:ascii="仿宋_GB2312" w:hAnsi="宋体"/>
          <w:color w:val="000000"/>
          <w:sz w:val="24"/>
          <w:szCs w:val="24"/>
        </w:rPr>
        <w:t>（二）加强与村（居）委会、派出所等相关部门的联系，掌握辖区内老年人口信息变化。加强宣传，告知服务内容，使更多的老年人愿意接受服务。</w:t>
      </w:r>
    </w:p>
    <w:p>
      <w:pPr>
        <w:adjustRightInd w:val="0"/>
        <w:snapToGrid w:val="0"/>
        <w:spacing w:line="400" w:lineRule="exact"/>
        <w:ind w:firstLine="480" w:firstLineChars="200"/>
        <w:rPr>
          <w:rFonts w:ascii="仿宋_GB2312" w:hAnsi="宋体"/>
          <w:color w:val="000000"/>
          <w:sz w:val="24"/>
          <w:szCs w:val="24"/>
        </w:rPr>
      </w:pPr>
      <w:r>
        <w:rPr>
          <w:rFonts w:hint="eastAsia" w:ascii="仿宋_GB2312" w:hAnsi="宋体"/>
          <w:color w:val="000000"/>
          <w:sz w:val="24"/>
          <w:szCs w:val="24"/>
        </w:rPr>
        <w:t>（三）每次健康检查后及时将相关信息记入健康档案。具体内容详见《居民健康档案管理服务规范》健康体检表。对于已纳入相应慢病健康管理的老年人，本次健康管理服务可作为一次随访服务。</w:t>
      </w:r>
    </w:p>
    <w:p>
      <w:pPr>
        <w:adjustRightInd w:val="0"/>
        <w:snapToGrid w:val="0"/>
        <w:spacing w:line="400" w:lineRule="exact"/>
        <w:ind w:firstLine="480" w:firstLineChars="200"/>
        <w:rPr>
          <w:rFonts w:ascii="仿宋_GB2312" w:hAnsi="宋体"/>
          <w:color w:val="000000"/>
          <w:sz w:val="24"/>
          <w:szCs w:val="24"/>
        </w:rPr>
      </w:pPr>
      <w:r>
        <w:rPr>
          <w:rFonts w:hint="eastAsia" w:ascii="仿宋_GB2312" w:hAnsi="宋体"/>
          <w:color w:val="000000"/>
          <w:sz w:val="24"/>
          <w:szCs w:val="24"/>
        </w:rPr>
        <w:t>（四）积极应用中医药方法为老年人提供养生保健、疾病防治等健康指导。</w:t>
      </w:r>
    </w:p>
    <w:p>
      <w:pPr>
        <w:adjustRightInd w:val="0"/>
        <w:snapToGrid w:val="0"/>
        <w:spacing w:line="400" w:lineRule="exact"/>
        <w:ind w:firstLine="600" w:firstLineChars="250"/>
        <w:rPr>
          <w:rFonts w:ascii="黑体" w:hAnsi="宋体" w:eastAsia="黑体"/>
          <w:color w:val="000000"/>
          <w:sz w:val="24"/>
          <w:szCs w:val="24"/>
        </w:rPr>
      </w:pPr>
      <w:r>
        <w:rPr>
          <w:rFonts w:hint="eastAsia" w:ascii="黑体" w:hAnsi="宋体" w:eastAsia="黑体"/>
          <w:color w:val="000000"/>
          <w:sz w:val="24"/>
          <w:szCs w:val="24"/>
        </w:rPr>
        <w:t>五、工作指标</w:t>
      </w:r>
    </w:p>
    <w:p>
      <w:pPr>
        <w:adjustRightInd w:val="0"/>
        <w:snapToGrid w:val="0"/>
        <w:spacing w:line="400" w:lineRule="exact"/>
        <w:ind w:firstLine="480" w:firstLineChars="200"/>
        <w:rPr>
          <w:rFonts w:ascii="仿宋_GB2312" w:hAnsi="宋体"/>
          <w:color w:val="000000"/>
          <w:sz w:val="24"/>
          <w:szCs w:val="24"/>
        </w:rPr>
      </w:pPr>
      <w:r>
        <w:rPr>
          <w:rFonts w:hint="eastAsia" w:ascii="仿宋_GB2312" w:hAnsi="宋体"/>
          <w:color w:val="000000"/>
          <w:sz w:val="24"/>
          <w:szCs w:val="24"/>
        </w:rPr>
        <w:t>老年人健康管理率＝年内接受健康管理人数/年内辖区内65岁及以上常住居民数×100％。</w:t>
      </w:r>
    </w:p>
    <w:p>
      <w:pPr>
        <w:adjustRightInd w:val="0"/>
        <w:snapToGrid w:val="0"/>
        <w:spacing w:line="400" w:lineRule="exact"/>
        <w:ind w:firstLine="480" w:firstLineChars="200"/>
        <w:rPr>
          <w:rFonts w:ascii="仿宋_GB2312" w:hAnsi="宋体"/>
          <w:color w:val="000000"/>
          <w:sz w:val="24"/>
          <w:szCs w:val="24"/>
        </w:rPr>
      </w:pPr>
      <w:r>
        <w:rPr>
          <w:rFonts w:hint="eastAsia" w:ascii="仿宋_GB2312" w:hAnsi="宋体"/>
          <w:color w:val="000000"/>
          <w:sz w:val="24"/>
          <w:szCs w:val="24"/>
        </w:rPr>
        <w:t>注：接受健康管理是指建立了健康档案、接受了</w:t>
      </w:r>
      <w:r>
        <w:rPr>
          <w:rFonts w:hint="eastAsia" w:ascii="仿宋_GB2312" w:hAnsi="宋体"/>
          <w:color w:val="000000"/>
          <w:spacing w:val="-2"/>
          <w:sz w:val="24"/>
          <w:szCs w:val="24"/>
        </w:rPr>
        <w:t>健康</w:t>
      </w:r>
      <w:r>
        <w:rPr>
          <w:rFonts w:hint="eastAsia" w:ascii="仿宋_GB2312" w:hAnsi="宋体"/>
          <w:color w:val="000000"/>
          <w:sz w:val="24"/>
          <w:szCs w:val="24"/>
        </w:rPr>
        <w:t>体检、健康指导、</w:t>
      </w:r>
      <w:r>
        <w:rPr>
          <w:rFonts w:hint="eastAsia" w:ascii="仿宋_GB2312" w:hAnsi="宋体"/>
          <w:color w:val="000000"/>
          <w:spacing w:val="-2"/>
          <w:sz w:val="24"/>
          <w:szCs w:val="24"/>
        </w:rPr>
        <w:t>健康</w:t>
      </w:r>
      <w:r>
        <w:rPr>
          <w:rFonts w:hint="eastAsia" w:ascii="仿宋_GB2312" w:hAnsi="宋体"/>
          <w:color w:val="000000"/>
          <w:sz w:val="24"/>
          <w:szCs w:val="24"/>
        </w:rPr>
        <w:t>体检</w:t>
      </w:r>
      <w:r>
        <w:rPr>
          <w:rFonts w:hint="eastAsia" w:ascii="仿宋_GB2312" w:hAnsi="宋体"/>
          <w:color w:val="000000"/>
          <w:spacing w:val="-2"/>
          <w:sz w:val="24"/>
          <w:szCs w:val="24"/>
        </w:rPr>
        <w:t>表填写完整</w:t>
      </w:r>
      <w:r>
        <w:rPr>
          <w:rFonts w:hint="eastAsia" w:ascii="仿宋_GB2312" w:hAnsi="宋体"/>
          <w:color w:val="000000"/>
          <w:sz w:val="24"/>
          <w:szCs w:val="24"/>
        </w:rPr>
        <w:t>。</w:t>
      </w:r>
    </w:p>
    <w:p>
      <w:pPr>
        <w:adjustRightInd w:val="0"/>
        <w:snapToGrid w:val="0"/>
        <w:spacing w:line="400" w:lineRule="exact"/>
        <w:ind w:firstLine="600" w:firstLineChars="250"/>
        <w:rPr>
          <w:rFonts w:ascii="黑体" w:hAnsi="宋体" w:eastAsia="黑体"/>
          <w:color w:val="000000"/>
          <w:sz w:val="24"/>
          <w:szCs w:val="24"/>
        </w:rPr>
      </w:pPr>
      <w:r>
        <w:rPr>
          <w:rFonts w:hint="eastAsia" w:ascii="黑体" w:hAnsi="宋体" w:eastAsia="黑体"/>
          <w:color w:val="000000"/>
          <w:sz w:val="24"/>
          <w:szCs w:val="24"/>
        </w:rPr>
        <w:t>六、附件</w:t>
      </w:r>
    </w:p>
    <w:p>
      <w:pPr>
        <w:adjustRightInd w:val="0"/>
        <w:snapToGrid w:val="0"/>
        <w:spacing w:line="400" w:lineRule="exact"/>
        <w:ind w:firstLine="480" w:firstLineChars="200"/>
        <w:rPr>
          <w:rFonts w:ascii="仿宋_GB2312" w:hAnsi="宋体"/>
          <w:color w:val="000000"/>
          <w:sz w:val="24"/>
          <w:szCs w:val="24"/>
        </w:rPr>
      </w:pPr>
      <w:r>
        <w:rPr>
          <w:rFonts w:hint="eastAsia" w:ascii="仿宋_GB2312" w:hAnsi="宋体"/>
          <w:color w:val="000000"/>
          <w:sz w:val="24"/>
          <w:szCs w:val="24"/>
        </w:rPr>
        <w:t>老年人生活自理能力评估表</w:t>
      </w:r>
    </w:p>
    <w:p>
      <w:pPr>
        <w:widowControl/>
        <w:jc w:val="left"/>
        <w:rPr>
          <w:rFonts w:hint="eastAsia"/>
          <w:b/>
          <w:color w:val="000000"/>
          <w:sz w:val="24"/>
          <w:szCs w:val="24"/>
        </w:rPr>
      </w:pPr>
    </w:p>
    <w:p>
      <w:pPr>
        <w:widowControl/>
        <w:jc w:val="left"/>
        <w:rPr>
          <w:rFonts w:hint="eastAsia"/>
          <w:b/>
          <w:color w:val="000000"/>
          <w:sz w:val="24"/>
          <w:szCs w:val="24"/>
        </w:rPr>
      </w:pPr>
    </w:p>
    <w:p>
      <w:pPr>
        <w:widowControl/>
        <w:jc w:val="left"/>
        <w:rPr>
          <w:rFonts w:hint="eastAsia"/>
          <w:b/>
          <w:color w:val="000000"/>
          <w:sz w:val="24"/>
          <w:szCs w:val="24"/>
        </w:rPr>
      </w:pPr>
    </w:p>
    <w:p>
      <w:pPr>
        <w:widowControl/>
        <w:jc w:val="left"/>
        <w:rPr>
          <w:rFonts w:hint="eastAsia"/>
          <w:b/>
          <w:color w:val="000000"/>
          <w:sz w:val="24"/>
          <w:szCs w:val="24"/>
        </w:rPr>
      </w:pPr>
    </w:p>
    <w:p>
      <w:pPr>
        <w:widowControl/>
        <w:jc w:val="left"/>
        <w:rPr>
          <w:rFonts w:hint="eastAsia"/>
          <w:b/>
          <w:color w:val="000000"/>
          <w:sz w:val="24"/>
          <w:szCs w:val="24"/>
        </w:rPr>
      </w:pPr>
    </w:p>
    <w:p>
      <w:pPr>
        <w:widowControl/>
        <w:jc w:val="left"/>
        <w:rPr>
          <w:rFonts w:hint="eastAsia"/>
          <w:b/>
          <w:color w:val="000000"/>
          <w:sz w:val="24"/>
          <w:szCs w:val="24"/>
        </w:rPr>
      </w:pPr>
    </w:p>
    <w:p>
      <w:pPr>
        <w:widowControl/>
        <w:jc w:val="left"/>
        <w:rPr>
          <w:rFonts w:hint="eastAsia"/>
          <w:b/>
          <w:color w:val="000000"/>
          <w:sz w:val="24"/>
          <w:szCs w:val="24"/>
        </w:rPr>
      </w:pPr>
    </w:p>
    <w:p>
      <w:pPr>
        <w:widowControl/>
        <w:jc w:val="left"/>
        <w:rPr>
          <w:b/>
          <w:color w:val="000000"/>
          <w:sz w:val="24"/>
          <w:szCs w:val="24"/>
        </w:rPr>
      </w:pPr>
      <w:bookmarkStart w:id="1" w:name="_GoBack"/>
      <w:bookmarkEnd w:id="1"/>
      <w:r>
        <w:rPr>
          <w:rFonts w:hint="eastAsia"/>
          <w:b/>
          <w:color w:val="000000"/>
          <w:sz w:val="24"/>
          <w:szCs w:val="24"/>
        </w:rPr>
        <w:t>附件</w:t>
      </w:r>
    </w:p>
    <w:p>
      <w:pPr>
        <w:jc w:val="center"/>
        <w:rPr>
          <w:b/>
          <w:color w:val="000000"/>
          <w:sz w:val="24"/>
          <w:szCs w:val="24"/>
        </w:rPr>
      </w:pPr>
      <w:r>
        <w:rPr>
          <w:rFonts w:hint="eastAsia" w:ascii="宋体" w:hAnsi="宋体" w:eastAsia="宋体"/>
          <w:b/>
          <w:color w:val="000000"/>
          <w:sz w:val="28"/>
          <w:szCs w:val="28"/>
        </w:rPr>
        <w:t>老年人生活自理能力评估表</w:t>
      </w:r>
    </w:p>
    <w:p>
      <w:pPr>
        <w:spacing w:line="400" w:lineRule="exact"/>
        <w:ind w:firstLine="420" w:firstLineChars="200"/>
        <w:rPr>
          <w:rFonts w:ascii="仿宋_GB2312"/>
          <w:color w:val="000000"/>
          <w:sz w:val="21"/>
          <w:szCs w:val="21"/>
        </w:rPr>
      </w:pPr>
      <w:r>
        <w:rPr>
          <w:rFonts w:hint="eastAsia" w:ascii="仿宋_GB2312"/>
          <w:color w:val="000000"/>
          <w:sz w:val="21"/>
          <w:szCs w:val="21"/>
        </w:rPr>
        <w:t>该表为自评表，根据下表中5个方面进行评估，将各方面判断评分汇总后，0</w:t>
      </w:r>
      <w:r>
        <w:rPr>
          <w:rFonts w:hint="eastAsia" w:ascii="仿宋_GB2312" w:hAnsi="宋体"/>
          <w:snapToGrid w:val="0"/>
          <w:color w:val="000000"/>
          <w:kern w:val="0"/>
          <w:sz w:val="24"/>
          <w:szCs w:val="24"/>
        </w:rPr>
        <w:t>～</w:t>
      </w:r>
      <w:r>
        <w:rPr>
          <w:rFonts w:hint="eastAsia" w:ascii="仿宋_GB2312"/>
          <w:color w:val="000000"/>
          <w:sz w:val="21"/>
          <w:szCs w:val="21"/>
        </w:rPr>
        <w:t>3分者为可自理；4</w:t>
      </w:r>
      <w:r>
        <w:rPr>
          <w:rFonts w:hint="eastAsia" w:ascii="仿宋_GB2312" w:hAnsi="宋体"/>
          <w:snapToGrid w:val="0"/>
          <w:color w:val="000000"/>
          <w:kern w:val="0"/>
          <w:sz w:val="24"/>
          <w:szCs w:val="24"/>
        </w:rPr>
        <w:t>～</w:t>
      </w:r>
      <w:r>
        <w:rPr>
          <w:rFonts w:hint="eastAsia" w:ascii="仿宋_GB2312"/>
          <w:color w:val="000000"/>
          <w:sz w:val="21"/>
          <w:szCs w:val="21"/>
        </w:rPr>
        <w:t>8分者为轻度依赖；9</w:t>
      </w:r>
      <w:r>
        <w:rPr>
          <w:rFonts w:hint="eastAsia" w:ascii="仿宋_GB2312" w:hAnsi="宋体"/>
          <w:snapToGrid w:val="0"/>
          <w:color w:val="000000"/>
          <w:kern w:val="0"/>
          <w:sz w:val="24"/>
          <w:szCs w:val="24"/>
        </w:rPr>
        <w:t>～</w:t>
      </w:r>
      <w:r>
        <w:rPr>
          <w:rFonts w:hint="eastAsia" w:ascii="仿宋_GB2312"/>
          <w:color w:val="000000"/>
          <w:sz w:val="21"/>
          <w:szCs w:val="21"/>
        </w:rPr>
        <w:t xml:space="preserve">18分者为中度依赖； </w:t>
      </w:r>
      <w:r>
        <w:rPr>
          <w:rFonts w:ascii="Courier" w:eastAsia="Courier"/>
          <w:color w:val="000000"/>
          <w:sz w:val="21"/>
          <w:szCs w:val="21"/>
        </w:rPr>
        <w:sym w:font="Symbol" w:char="00B3"/>
      </w:r>
      <w:r>
        <w:rPr>
          <w:rFonts w:hint="eastAsia" w:ascii="仿宋_GB2312"/>
          <w:color w:val="000000"/>
          <w:sz w:val="21"/>
          <w:szCs w:val="21"/>
        </w:rPr>
        <w:t>19分者为不能自理。</w:t>
      </w:r>
    </w:p>
    <w:p>
      <w:pPr>
        <w:spacing w:line="400" w:lineRule="exact"/>
        <w:ind w:firstLine="482" w:firstLineChars="200"/>
        <w:rPr>
          <w:rFonts w:ascii="Calibri" w:hAnsi="Calibri"/>
          <w:b/>
          <w:color w:val="000000"/>
          <w:sz w:val="24"/>
          <w:szCs w:val="24"/>
        </w:rPr>
      </w:pPr>
    </w:p>
    <w:tbl>
      <w:tblPr>
        <w:tblStyle w:val="3"/>
        <w:tblW w:w="84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02"/>
        <w:gridCol w:w="1275"/>
        <w:gridCol w:w="1418"/>
        <w:gridCol w:w="1559"/>
        <w:gridCol w:w="1276"/>
        <w:gridCol w:w="7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2202" w:type="dxa"/>
            <w:vMerge w:val="restart"/>
            <w:tcBorders>
              <w:top w:val="single" w:color="auto" w:sz="4" w:space="0"/>
              <w:left w:val="single" w:color="auto" w:sz="4" w:space="0"/>
              <w:right w:val="single" w:color="auto" w:sz="4" w:space="0"/>
            </w:tcBorders>
            <w:vAlign w:val="center"/>
          </w:tcPr>
          <w:p>
            <w:pPr>
              <w:spacing w:line="380" w:lineRule="exact"/>
              <w:jc w:val="center"/>
              <w:rPr>
                <w:rFonts w:ascii="仿宋_GB2312" w:hAnsi="宋体" w:cs="宋体"/>
                <w:color w:val="000000"/>
                <w:kern w:val="0"/>
                <w:sz w:val="21"/>
                <w:szCs w:val="21"/>
              </w:rPr>
            </w:pPr>
            <w:r>
              <w:rPr>
                <w:rFonts w:hint="eastAsia" w:ascii="仿宋_GB2312" w:hAnsi="宋体" w:cs="宋体"/>
                <w:color w:val="000000"/>
                <w:kern w:val="0"/>
                <w:sz w:val="21"/>
                <w:szCs w:val="21"/>
              </w:rPr>
              <w:t>评估事项、内容</w:t>
            </w:r>
          </w:p>
          <w:p>
            <w:pPr>
              <w:spacing w:line="380" w:lineRule="exact"/>
              <w:jc w:val="center"/>
              <w:rPr>
                <w:rFonts w:ascii="仿宋_GB2312" w:hAnsi="宋体" w:cs="宋体"/>
                <w:color w:val="000000"/>
                <w:kern w:val="0"/>
                <w:sz w:val="21"/>
                <w:szCs w:val="21"/>
              </w:rPr>
            </w:pPr>
            <w:r>
              <w:rPr>
                <w:rFonts w:hint="eastAsia" w:ascii="仿宋_GB2312" w:hAnsi="宋体" w:cs="宋体"/>
                <w:color w:val="000000"/>
                <w:kern w:val="0"/>
                <w:sz w:val="21"/>
                <w:szCs w:val="21"/>
              </w:rPr>
              <w:t>与评分</w:t>
            </w:r>
          </w:p>
        </w:tc>
        <w:tc>
          <w:tcPr>
            <w:tcW w:w="6259" w:type="dxa"/>
            <w:gridSpan w:val="5"/>
            <w:tcBorders>
              <w:left w:val="single" w:color="auto" w:sz="4" w:space="0"/>
              <w:bottom w:val="single" w:color="auto" w:sz="4" w:space="0"/>
              <w:right w:val="single" w:color="auto" w:sz="4" w:space="0"/>
            </w:tcBorders>
          </w:tcPr>
          <w:p>
            <w:pPr>
              <w:widowControl/>
              <w:spacing w:line="380" w:lineRule="exact"/>
              <w:jc w:val="center"/>
              <w:rPr>
                <w:rFonts w:ascii="仿宋_GB2312" w:hAnsi="宋体" w:cs="宋体"/>
                <w:color w:val="000000"/>
                <w:kern w:val="0"/>
                <w:sz w:val="21"/>
                <w:szCs w:val="21"/>
              </w:rPr>
            </w:pPr>
            <w:r>
              <w:rPr>
                <w:rFonts w:hint="eastAsia" w:ascii="仿宋_GB2312" w:hAnsi="宋体" w:cs="宋体"/>
                <w:color w:val="000000"/>
                <w:kern w:val="0"/>
                <w:sz w:val="21"/>
                <w:szCs w:val="21"/>
              </w:rPr>
              <w:t>程度等级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2202" w:type="dxa"/>
            <w:vMerge w:val="continue"/>
            <w:tcBorders>
              <w:left w:val="single" w:color="auto" w:sz="4" w:space="0"/>
              <w:bottom w:val="single" w:color="auto" w:sz="4" w:space="0"/>
              <w:right w:val="single" w:color="auto" w:sz="4" w:space="0"/>
            </w:tcBorders>
          </w:tcPr>
          <w:p>
            <w:pPr>
              <w:widowControl/>
              <w:spacing w:line="380" w:lineRule="exact"/>
              <w:jc w:val="left"/>
              <w:rPr>
                <w:rFonts w:ascii="仿宋_GB2312" w:hAnsi="宋体" w:cs="宋体"/>
                <w:color w:val="000000"/>
                <w:kern w:val="0"/>
                <w:sz w:val="21"/>
                <w:szCs w:val="21"/>
              </w:rPr>
            </w:pPr>
          </w:p>
        </w:tc>
        <w:tc>
          <w:tcPr>
            <w:tcW w:w="1275" w:type="dxa"/>
            <w:tcBorders>
              <w:left w:val="single" w:color="auto" w:sz="4" w:space="0"/>
              <w:bottom w:val="single" w:color="auto" w:sz="4" w:space="0"/>
              <w:right w:val="single" w:color="auto" w:sz="4" w:space="0"/>
            </w:tcBorders>
            <w:vAlign w:val="center"/>
          </w:tcPr>
          <w:p>
            <w:pPr>
              <w:widowControl/>
              <w:spacing w:line="380" w:lineRule="exact"/>
              <w:jc w:val="center"/>
              <w:rPr>
                <w:rFonts w:ascii="仿宋_GB2312" w:hAnsi="宋体" w:cs="宋体"/>
                <w:color w:val="000000"/>
                <w:kern w:val="0"/>
                <w:sz w:val="21"/>
                <w:szCs w:val="21"/>
              </w:rPr>
            </w:pPr>
            <w:r>
              <w:rPr>
                <w:rFonts w:hint="eastAsia" w:ascii="仿宋_GB2312" w:hAnsi="宋体" w:cs="宋体"/>
                <w:color w:val="000000"/>
                <w:kern w:val="0"/>
                <w:sz w:val="21"/>
                <w:szCs w:val="21"/>
              </w:rPr>
              <w:t>可自理</w:t>
            </w:r>
          </w:p>
        </w:tc>
        <w:tc>
          <w:tcPr>
            <w:tcW w:w="1418" w:type="dxa"/>
            <w:tcBorders>
              <w:left w:val="single" w:color="auto" w:sz="4" w:space="0"/>
              <w:bottom w:val="single" w:color="auto" w:sz="4" w:space="0"/>
              <w:right w:val="single" w:color="auto" w:sz="4" w:space="0"/>
            </w:tcBorders>
            <w:vAlign w:val="center"/>
          </w:tcPr>
          <w:p>
            <w:pPr>
              <w:widowControl/>
              <w:spacing w:line="380" w:lineRule="exact"/>
              <w:jc w:val="center"/>
              <w:rPr>
                <w:rFonts w:ascii="仿宋_GB2312" w:hAnsi="宋体" w:cs="宋体"/>
                <w:color w:val="000000"/>
                <w:kern w:val="0"/>
                <w:sz w:val="21"/>
                <w:szCs w:val="21"/>
              </w:rPr>
            </w:pPr>
            <w:r>
              <w:rPr>
                <w:rFonts w:hint="eastAsia" w:ascii="仿宋_GB2312" w:hAnsi="宋体" w:cs="宋体"/>
                <w:color w:val="000000"/>
                <w:kern w:val="0"/>
                <w:sz w:val="21"/>
                <w:szCs w:val="21"/>
              </w:rPr>
              <w:t>轻度依赖</w:t>
            </w:r>
          </w:p>
        </w:tc>
        <w:tc>
          <w:tcPr>
            <w:tcW w:w="1559" w:type="dxa"/>
            <w:tcBorders>
              <w:left w:val="single" w:color="auto" w:sz="4" w:space="0"/>
              <w:bottom w:val="single" w:color="auto" w:sz="4" w:space="0"/>
              <w:right w:val="single" w:color="auto" w:sz="4" w:space="0"/>
            </w:tcBorders>
            <w:vAlign w:val="center"/>
          </w:tcPr>
          <w:p>
            <w:pPr>
              <w:widowControl/>
              <w:spacing w:line="380" w:lineRule="exact"/>
              <w:jc w:val="center"/>
              <w:rPr>
                <w:rFonts w:ascii="仿宋_GB2312" w:hAnsi="宋体" w:cs="宋体"/>
                <w:color w:val="000000"/>
                <w:kern w:val="0"/>
                <w:sz w:val="21"/>
                <w:szCs w:val="21"/>
              </w:rPr>
            </w:pPr>
            <w:r>
              <w:rPr>
                <w:rFonts w:hint="eastAsia" w:ascii="仿宋_GB2312" w:hAnsi="宋体" w:cs="宋体"/>
                <w:color w:val="000000"/>
                <w:kern w:val="0"/>
                <w:sz w:val="21"/>
                <w:szCs w:val="21"/>
              </w:rPr>
              <w:t>中度依赖</w:t>
            </w:r>
          </w:p>
        </w:tc>
        <w:tc>
          <w:tcPr>
            <w:tcW w:w="1276" w:type="dxa"/>
            <w:tcBorders>
              <w:left w:val="single" w:color="auto" w:sz="4" w:space="0"/>
              <w:bottom w:val="single" w:color="auto" w:sz="4" w:space="0"/>
              <w:right w:val="single" w:color="auto" w:sz="4" w:space="0"/>
            </w:tcBorders>
            <w:vAlign w:val="center"/>
          </w:tcPr>
          <w:p>
            <w:pPr>
              <w:widowControl/>
              <w:spacing w:line="380" w:lineRule="exact"/>
              <w:jc w:val="center"/>
              <w:rPr>
                <w:rFonts w:ascii="仿宋_GB2312" w:hAnsi="宋体" w:cs="宋体"/>
                <w:color w:val="000000"/>
                <w:kern w:val="0"/>
                <w:sz w:val="21"/>
                <w:szCs w:val="21"/>
              </w:rPr>
            </w:pPr>
            <w:r>
              <w:rPr>
                <w:rFonts w:hint="eastAsia" w:ascii="仿宋_GB2312" w:hAnsi="宋体" w:cs="宋体"/>
                <w:color w:val="000000"/>
                <w:kern w:val="0"/>
                <w:sz w:val="21"/>
                <w:szCs w:val="21"/>
              </w:rPr>
              <w:t>不能自理</w:t>
            </w:r>
          </w:p>
        </w:tc>
        <w:tc>
          <w:tcPr>
            <w:tcW w:w="731" w:type="dxa"/>
            <w:tcBorders>
              <w:left w:val="single" w:color="auto" w:sz="4" w:space="0"/>
              <w:bottom w:val="single" w:color="auto" w:sz="4" w:space="0"/>
              <w:right w:val="single" w:color="auto" w:sz="4" w:space="0"/>
            </w:tcBorders>
          </w:tcPr>
          <w:p>
            <w:pPr>
              <w:widowControl/>
              <w:spacing w:line="380" w:lineRule="exact"/>
              <w:jc w:val="center"/>
              <w:rPr>
                <w:rFonts w:ascii="仿宋_GB2312" w:hAnsi="宋体" w:cs="宋体"/>
                <w:color w:val="000000"/>
                <w:kern w:val="0"/>
                <w:sz w:val="21"/>
                <w:szCs w:val="21"/>
              </w:rPr>
            </w:pPr>
            <w:r>
              <w:rPr>
                <w:rFonts w:hint="eastAsia" w:ascii="仿宋_GB2312" w:hAnsi="宋体" w:cs="宋体"/>
                <w:color w:val="000000"/>
                <w:kern w:val="0"/>
                <w:sz w:val="21"/>
                <w:szCs w:val="21"/>
              </w:rPr>
              <w:t>判断评分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2" w:type="dxa"/>
            <w:tcBorders>
              <w:top w:val="single" w:color="auto" w:sz="4" w:space="0"/>
              <w:left w:val="single" w:color="auto" w:sz="4" w:space="0"/>
              <w:bottom w:val="nil"/>
              <w:right w:val="single" w:color="auto" w:sz="4" w:space="0"/>
            </w:tcBorders>
          </w:tcPr>
          <w:p>
            <w:pPr>
              <w:widowControl/>
              <w:spacing w:line="380" w:lineRule="exact"/>
              <w:jc w:val="left"/>
              <w:rPr>
                <w:rFonts w:ascii="仿宋_GB2312" w:hAnsi="宋体" w:cs="宋体"/>
                <w:color w:val="000000"/>
                <w:kern w:val="0"/>
                <w:sz w:val="21"/>
                <w:szCs w:val="21"/>
              </w:rPr>
            </w:pPr>
            <w:r>
              <w:rPr>
                <w:rFonts w:hint="eastAsia" w:ascii="仿宋_GB2312" w:hAnsi="宋体" w:cs="宋体"/>
                <w:color w:val="000000"/>
                <w:kern w:val="0"/>
                <w:sz w:val="21"/>
                <w:szCs w:val="21"/>
              </w:rPr>
              <w:t>进餐：使用餐具将饭菜送入口、咀嚼、吞咽等活动</w:t>
            </w:r>
          </w:p>
        </w:tc>
        <w:tc>
          <w:tcPr>
            <w:tcW w:w="1275" w:type="dxa"/>
            <w:tcBorders>
              <w:top w:val="single" w:color="auto" w:sz="4" w:space="0"/>
              <w:left w:val="single" w:color="auto" w:sz="4" w:space="0"/>
              <w:bottom w:val="nil"/>
              <w:right w:val="single" w:color="auto" w:sz="4" w:space="0"/>
            </w:tcBorders>
          </w:tcPr>
          <w:p>
            <w:pPr>
              <w:widowControl/>
              <w:spacing w:line="380" w:lineRule="exact"/>
              <w:jc w:val="center"/>
              <w:rPr>
                <w:rFonts w:ascii="仿宋_GB2312" w:hAnsi="宋体" w:cs="宋体"/>
                <w:color w:val="000000"/>
                <w:kern w:val="0"/>
                <w:sz w:val="21"/>
                <w:szCs w:val="21"/>
              </w:rPr>
            </w:pPr>
            <w:r>
              <w:rPr>
                <w:rFonts w:hint="eastAsia" w:ascii="仿宋_GB2312" w:hAnsi="宋体" w:cs="宋体"/>
                <w:color w:val="000000"/>
                <w:kern w:val="0"/>
                <w:sz w:val="21"/>
                <w:szCs w:val="21"/>
              </w:rPr>
              <w:t>独立完成</w:t>
            </w:r>
          </w:p>
        </w:tc>
        <w:tc>
          <w:tcPr>
            <w:tcW w:w="1418" w:type="dxa"/>
            <w:tcBorders>
              <w:top w:val="single" w:color="auto" w:sz="4" w:space="0"/>
              <w:left w:val="single" w:color="auto" w:sz="4" w:space="0"/>
              <w:bottom w:val="nil"/>
              <w:right w:val="single" w:color="auto" w:sz="4" w:space="0"/>
            </w:tcBorders>
            <w:vAlign w:val="center"/>
          </w:tcPr>
          <w:p>
            <w:pPr>
              <w:widowControl/>
              <w:spacing w:line="380" w:lineRule="exact"/>
              <w:jc w:val="center"/>
              <w:rPr>
                <w:rFonts w:ascii="仿宋_GB2312" w:hAnsi="宋体" w:cs="宋体"/>
                <w:color w:val="000000"/>
                <w:kern w:val="0"/>
                <w:sz w:val="21"/>
                <w:szCs w:val="21"/>
              </w:rPr>
            </w:pPr>
            <w:r>
              <w:rPr>
                <w:rFonts w:hint="eastAsia" w:ascii="仿宋_GB2312" w:hAnsi="宋体" w:cs="宋体"/>
                <w:color w:val="000000"/>
                <w:kern w:val="0"/>
                <w:sz w:val="21"/>
                <w:szCs w:val="21"/>
              </w:rPr>
              <w:t>—</w:t>
            </w:r>
          </w:p>
        </w:tc>
        <w:tc>
          <w:tcPr>
            <w:tcW w:w="1559" w:type="dxa"/>
            <w:tcBorders>
              <w:top w:val="single" w:color="auto" w:sz="4" w:space="0"/>
              <w:left w:val="single" w:color="auto" w:sz="4" w:space="0"/>
              <w:bottom w:val="nil"/>
              <w:right w:val="single" w:color="auto" w:sz="4" w:space="0"/>
            </w:tcBorders>
          </w:tcPr>
          <w:p>
            <w:pPr>
              <w:widowControl/>
              <w:spacing w:line="380" w:lineRule="exact"/>
              <w:jc w:val="left"/>
              <w:rPr>
                <w:rFonts w:ascii="仿宋_GB2312" w:hAnsi="宋体" w:cs="宋体"/>
                <w:color w:val="000000"/>
                <w:kern w:val="0"/>
                <w:sz w:val="21"/>
                <w:szCs w:val="21"/>
              </w:rPr>
            </w:pPr>
            <w:r>
              <w:rPr>
                <w:rFonts w:hint="eastAsia" w:ascii="仿宋_GB2312" w:hAnsi="宋体" w:cs="宋体"/>
                <w:color w:val="000000"/>
                <w:kern w:val="0"/>
                <w:sz w:val="21"/>
                <w:szCs w:val="21"/>
              </w:rPr>
              <w:t>需要协助，如切碎、搅拌食物等</w:t>
            </w:r>
          </w:p>
        </w:tc>
        <w:tc>
          <w:tcPr>
            <w:tcW w:w="1276" w:type="dxa"/>
            <w:tcBorders>
              <w:top w:val="single" w:color="auto" w:sz="4" w:space="0"/>
              <w:left w:val="single" w:color="auto" w:sz="4" w:space="0"/>
              <w:bottom w:val="nil"/>
              <w:right w:val="single" w:color="auto" w:sz="4" w:space="0"/>
            </w:tcBorders>
          </w:tcPr>
          <w:p>
            <w:pPr>
              <w:widowControl/>
              <w:spacing w:line="380" w:lineRule="exact"/>
              <w:jc w:val="left"/>
              <w:rPr>
                <w:rFonts w:ascii="仿宋_GB2312" w:hAnsi="宋体" w:cs="宋体"/>
                <w:color w:val="000000"/>
                <w:kern w:val="0"/>
                <w:sz w:val="21"/>
                <w:szCs w:val="21"/>
              </w:rPr>
            </w:pPr>
            <w:r>
              <w:rPr>
                <w:rFonts w:hint="eastAsia" w:ascii="仿宋_GB2312" w:hAnsi="宋体" w:cs="宋体"/>
                <w:color w:val="000000"/>
                <w:kern w:val="0"/>
                <w:sz w:val="21"/>
                <w:szCs w:val="21"/>
              </w:rPr>
              <w:t>完全需要帮助</w:t>
            </w:r>
          </w:p>
        </w:tc>
        <w:tc>
          <w:tcPr>
            <w:tcW w:w="731" w:type="dxa"/>
            <w:vMerge w:val="restart"/>
            <w:tcBorders>
              <w:top w:val="single" w:color="auto" w:sz="4" w:space="0"/>
              <w:left w:val="single" w:color="auto" w:sz="4" w:space="0"/>
              <w:right w:val="single" w:color="auto" w:sz="4" w:space="0"/>
            </w:tcBorders>
          </w:tcPr>
          <w:p>
            <w:pPr>
              <w:widowControl/>
              <w:spacing w:line="380" w:lineRule="exact"/>
              <w:jc w:val="right"/>
              <w:rPr>
                <w:rFonts w:ascii="仿宋_GB2312" w:hAnsi="宋体" w:cs="宋体"/>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2" w:type="dxa"/>
            <w:tcBorders>
              <w:top w:val="nil"/>
              <w:left w:val="single" w:color="auto" w:sz="4" w:space="0"/>
              <w:bottom w:val="single" w:color="auto" w:sz="4" w:space="0"/>
              <w:right w:val="single" w:color="auto" w:sz="4" w:space="0"/>
            </w:tcBorders>
          </w:tcPr>
          <w:p>
            <w:pPr>
              <w:widowControl/>
              <w:spacing w:line="380" w:lineRule="exact"/>
              <w:jc w:val="center"/>
              <w:rPr>
                <w:rFonts w:ascii="仿宋_GB2312" w:hAnsi="宋体" w:cs="宋体"/>
                <w:color w:val="000000"/>
                <w:kern w:val="0"/>
                <w:sz w:val="21"/>
                <w:szCs w:val="21"/>
              </w:rPr>
            </w:pPr>
            <w:r>
              <w:rPr>
                <w:rFonts w:hint="eastAsia" w:ascii="仿宋_GB2312" w:hAnsi="宋体" w:cs="宋体"/>
                <w:color w:val="000000"/>
                <w:kern w:val="0"/>
                <w:sz w:val="21"/>
                <w:szCs w:val="21"/>
              </w:rPr>
              <w:t>评分</w:t>
            </w:r>
          </w:p>
        </w:tc>
        <w:tc>
          <w:tcPr>
            <w:tcW w:w="1275" w:type="dxa"/>
            <w:tcBorders>
              <w:top w:val="nil"/>
              <w:left w:val="single" w:color="auto" w:sz="4" w:space="0"/>
              <w:bottom w:val="single" w:color="auto" w:sz="4" w:space="0"/>
              <w:right w:val="single" w:color="auto" w:sz="4" w:space="0"/>
            </w:tcBorders>
          </w:tcPr>
          <w:p>
            <w:pPr>
              <w:widowControl/>
              <w:spacing w:line="380" w:lineRule="exact"/>
              <w:jc w:val="center"/>
              <w:rPr>
                <w:rFonts w:ascii="仿宋_GB2312" w:hAnsi="宋体" w:cs="宋体"/>
                <w:color w:val="000000"/>
                <w:kern w:val="0"/>
                <w:sz w:val="21"/>
                <w:szCs w:val="21"/>
              </w:rPr>
            </w:pPr>
            <w:r>
              <w:rPr>
                <w:rFonts w:hint="eastAsia" w:ascii="仿宋_GB2312" w:hAnsi="宋体" w:cs="宋体"/>
                <w:color w:val="000000"/>
                <w:kern w:val="0"/>
                <w:sz w:val="21"/>
                <w:szCs w:val="21"/>
              </w:rPr>
              <w:t>0</w:t>
            </w:r>
          </w:p>
        </w:tc>
        <w:tc>
          <w:tcPr>
            <w:tcW w:w="1418" w:type="dxa"/>
            <w:tcBorders>
              <w:top w:val="nil"/>
              <w:left w:val="single" w:color="auto" w:sz="4" w:space="0"/>
              <w:bottom w:val="single" w:color="auto" w:sz="4" w:space="0"/>
              <w:right w:val="single" w:color="auto" w:sz="4" w:space="0"/>
            </w:tcBorders>
          </w:tcPr>
          <w:p>
            <w:pPr>
              <w:widowControl/>
              <w:spacing w:line="380" w:lineRule="exact"/>
              <w:jc w:val="center"/>
              <w:rPr>
                <w:rFonts w:ascii="仿宋_GB2312" w:hAnsi="宋体" w:cs="宋体"/>
                <w:color w:val="000000"/>
                <w:kern w:val="0"/>
                <w:sz w:val="21"/>
                <w:szCs w:val="21"/>
              </w:rPr>
            </w:pPr>
            <w:r>
              <w:rPr>
                <w:rFonts w:hint="eastAsia" w:ascii="仿宋_GB2312" w:hAnsi="宋体" w:cs="宋体"/>
                <w:color w:val="000000"/>
                <w:kern w:val="0"/>
                <w:sz w:val="21"/>
                <w:szCs w:val="21"/>
              </w:rPr>
              <w:t>0</w:t>
            </w:r>
          </w:p>
        </w:tc>
        <w:tc>
          <w:tcPr>
            <w:tcW w:w="1559" w:type="dxa"/>
            <w:tcBorders>
              <w:top w:val="nil"/>
              <w:left w:val="single" w:color="auto" w:sz="4" w:space="0"/>
              <w:bottom w:val="single" w:color="auto" w:sz="4" w:space="0"/>
              <w:right w:val="single" w:color="auto" w:sz="4" w:space="0"/>
            </w:tcBorders>
          </w:tcPr>
          <w:p>
            <w:pPr>
              <w:widowControl/>
              <w:spacing w:line="380" w:lineRule="exact"/>
              <w:jc w:val="center"/>
              <w:rPr>
                <w:rFonts w:ascii="仿宋_GB2312" w:hAnsi="宋体" w:cs="宋体"/>
                <w:color w:val="000000"/>
                <w:kern w:val="0"/>
                <w:sz w:val="21"/>
                <w:szCs w:val="21"/>
              </w:rPr>
            </w:pPr>
            <w:r>
              <w:rPr>
                <w:rFonts w:hint="eastAsia" w:ascii="仿宋_GB2312" w:hAnsi="宋体" w:cs="宋体"/>
                <w:color w:val="000000"/>
                <w:kern w:val="0"/>
                <w:sz w:val="21"/>
                <w:szCs w:val="21"/>
              </w:rPr>
              <w:t>3</w:t>
            </w:r>
          </w:p>
        </w:tc>
        <w:tc>
          <w:tcPr>
            <w:tcW w:w="1276" w:type="dxa"/>
            <w:tcBorders>
              <w:top w:val="nil"/>
              <w:left w:val="single" w:color="auto" w:sz="4" w:space="0"/>
              <w:bottom w:val="single" w:color="auto" w:sz="4" w:space="0"/>
              <w:right w:val="single" w:color="auto" w:sz="4" w:space="0"/>
            </w:tcBorders>
          </w:tcPr>
          <w:p>
            <w:pPr>
              <w:widowControl/>
              <w:spacing w:line="380" w:lineRule="exact"/>
              <w:jc w:val="center"/>
              <w:rPr>
                <w:rFonts w:ascii="仿宋_GB2312" w:hAnsi="宋体" w:cs="宋体"/>
                <w:color w:val="000000"/>
                <w:kern w:val="0"/>
                <w:sz w:val="21"/>
                <w:szCs w:val="21"/>
              </w:rPr>
            </w:pPr>
            <w:r>
              <w:rPr>
                <w:rFonts w:hint="eastAsia" w:ascii="仿宋_GB2312" w:hAnsi="宋体" w:cs="宋体"/>
                <w:color w:val="000000"/>
                <w:kern w:val="0"/>
                <w:sz w:val="21"/>
                <w:szCs w:val="21"/>
              </w:rPr>
              <w:t>5</w:t>
            </w:r>
          </w:p>
        </w:tc>
        <w:tc>
          <w:tcPr>
            <w:tcW w:w="731" w:type="dxa"/>
            <w:vMerge w:val="continue"/>
            <w:tcBorders>
              <w:left w:val="single" w:color="auto" w:sz="4" w:space="0"/>
              <w:bottom w:val="single" w:color="auto" w:sz="4" w:space="0"/>
              <w:right w:val="single" w:color="auto" w:sz="4" w:space="0"/>
            </w:tcBorders>
          </w:tcPr>
          <w:p>
            <w:pPr>
              <w:widowControl/>
              <w:spacing w:line="380" w:lineRule="exact"/>
              <w:jc w:val="right"/>
              <w:rPr>
                <w:rFonts w:ascii="仿宋_GB2312" w:hAnsi="宋体" w:cs="宋体"/>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2" w:type="dxa"/>
            <w:tcBorders>
              <w:top w:val="single" w:color="auto" w:sz="4" w:space="0"/>
              <w:left w:val="single" w:color="auto" w:sz="4" w:space="0"/>
              <w:bottom w:val="nil"/>
              <w:right w:val="single" w:color="auto" w:sz="4" w:space="0"/>
            </w:tcBorders>
          </w:tcPr>
          <w:p>
            <w:pPr>
              <w:widowControl/>
              <w:spacing w:line="380" w:lineRule="exact"/>
              <w:jc w:val="left"/>
              <w:rPr>
                <w:rFonts w:ascii="仿宋_GB2312" w:hAnsi="宋体" w:cs="宋体"/>
                <w:color w:val="000000"/>
                <w:kern w:val="0"/>
                <w:sz w:val="21"/>
                <w:szCs w:val="21"/>
              </w:rPr>
            </w:pPr>
            <w:r>
              <w:rPr>
                <w:rFonts w:hint="eastAsia" w:ascii="仿宋_GB2312" w:hAnsi="宋体" w:cs="宋体"/>
                <w:color w:val="000000"/>
                <w:kern w:val="0"/>
                <w:sz w:val="21"/>
                <w:szCs w:val="21"/>
              </w:rPr>
              <w:t>梳洗：梳头、洗脸、刷牙、剃须、洗澡等活动</w:t>
            </w:r>
          </w:p>
        </w:tc>
        <w:tc>
          <w:tcPr>
            <w:tcW w:w="1275" w:type="dxa"/>
            <w:tcBorders>
              <w:top w:val="single" w:color="auto" w:sz="4" w:space="0"/>
              <w:left w:val="single" w:color="auto" w:sz="4" w:space="0"/>
              <w:bottom w:val="nil"/>
              <w:right w:val="single" w:color="auto" w:sz="4" w:space="0"/>
            </w:tcBorders>
          </w:tcPr>
          <w:p>
            <w:pPr>
              <w:widowControl/>
              <w:spacing w:line="380" w:lineRule="exact"/>
              <w:jc w:val="center"/>
              <w:rPr>
                <w:rFonts w:ascii="仿宋_GB2312" w:hAnsi="宋体" w:cs="宋体"/>
                <w:color w:val="000000"/>
                <w:kern w:val="0"/>
                <w:sz w:val="21"/>
                <w:szCs w:val="21"/>
              </w:rPr>
            </w:pPr>
            <w:r>
              <w:rPr>
                <w:rFonts w:hint="eastAsia" w:ascii="仿宋_GB2312" w:hAnsi="宋体" w:cs="宋体"/>
                <w:color w:val="000000"/>
                <w:kern w:val="0"/>
                <w:sz w:val="21"/>
                <w:szCs w:val="21"/>
              </w:rPr>
              <w:t>独立完成</w:t>
            </w:r>
          </w:p>
        </w:tc>
        <w:tc>
          <w:tcPr>
            <w:tcW w:w="1418" w:type="dxa"/>
            <w:tcBorders>
              <w:top w:val="single" w:color="auto" w:sz="4" w:space="0"/>
              <w:left w:val="single" w:color="auto" w:sz="4" w:space="0"/>
              <w:bottom w:val="nil"/>
              <w:right w:val="single" w:color="auto" w:sz="4" w:space="0"/>
            </w:tcBorders>
          </w:tcPr>
          <w:p>
            <w:pPr>
              <w:widowControl/>
              <w:spacing w:line="380" w:lineRule="exact"/>
              <w:jc w:val="left"/>
              <w:rPr>
                <w:rFonts w:ascii="仿宋_GB2312" w:hAnsi="宋体" w:cs="宋体"/>
                <w:color w:val="000000"/>
                <w:kern w:val="0"/>
                <w:sz w:val="21"/>
                <w:szCs w:val="21"/>
              </w:rPr>
            </w:pPr>
            <w:r>
              <w:rPr>
                <w:rFonts w:hint="eastAsia" w:ascii="仿宋_GB2312" w:hAnsi="宋体" w:cs="宋体"/>
                <w:color w:val="000000"/>
                <w:kern w:val="0"/>
                <w:sz w:val="21"/>
                <w:szCs w:val="21"/>
              </w:rPr>
              <w:t>能独立地洗头、梳头、洗脸、刷牙、剃须等；洗澡需要协助</w:t>
            </w:r>
          </w:p>
        </w:tc>
        <w:tc>
          <w:tcPr>
            <w:tcW w:w="1559" w:type="dxa"/>
            <w:tcBorders>
              <w:top w:val="single" w:color="auto" w:sz="4" w:space="0"/>
              <w:left w:val="single" w:color="auto" w:sz="4" w:space="0"/>
              <w:bottom w:val="nil"/>
              <w:right w:val="single" w:color="auto" w:sz="4" w:space="0"/>
            </w:tcBorders>
          </w:tcPr>
          <w:p>
            <w:pPr>
              <w:widowControl/>
              <w:spacing w:line="380" w:lineRule="exact"/>
              <w:jc w:val="left"/>
              <w:rPr>
                <w:rFonts w:ascii="仿宋_GB2312" w:hAnsi="宋体" w:cs="宋体"/>
                <w:color w:val="000000"/>
                <w:kern w:val="0"/>
                <w:sz w:val="21"/>
                <w:szCs w:val="21"/>
              </w:rPr>
            </w:pPr>
            <w:r>
              <w:rPr>
                <w:rFonts w:hint="eastAsia" w:ascii="仿宋_GB2312" w:hAnsi="宋体" w:cs="宋体"/>
                <w:color w:val="000000"/>
                <w:kern w:val="0"/>
                <w:sz w:val="21"/>
                <w:szCs w:val="21"/>
              </w:rPr>
              <w:t>在协助下和适当的时间内，能完成部分梳洗活动</w:t>
            </w:r>
          </w:p>
        </w:tc>
        <w:tc>
          <w:tcPr>
            <w:tcW w:w="1276" w:type="dxa"/>
            <w:tcBorders>
              <w:top w:val="single" w:color="auto" w:sz="4" w:space="0"/>
              <w:left w:val="single" w:color="auto" w:sz="4" w:space="0"/>
              <w:bottom w:val="nil"/>
              <w:right w:val="single" w:color="auto" w:sz="4" w:space="0"/>
            </w:tcBorders>
          </w:tcPr>
          <w:p>
            <w:pPr>
              <w:widowControl/>
              <w:spacing w:line="380" w:lineRule="exact"/>
              <w:jc w:val="left"/>
              <w:rPr>
                <w:rFonts w:ascii="仿宋_GB2312" w:hAnsi="宋体" w:cs="宋体"/>
                <w:color w:val="000000"/>
                <w:kern w:val="0"/>
                <w:sz w:val="21"/>
                <w:szCs w:val="21"/>
              </w:rPr>
            </w:pPr>
            <w:r>
              <w:rPr>
                <w:rFonts w:hint="eastAsia" w:ascii="仿宋_GB2312" w:hAnsi="宋体" w:cs="宋体"/>
                <w:color w:val="000000"/>
                <w:kern w:val="0"/>
                <w:sz w:val="21"/>
                <w:szCs w:val="21"/>
              </w:rPr>
              <w:t>完全需要帮助</w:t>
            </w:r>
          </w:p>
        </w:tc>
        <w:tc>
          <w:tcPr>
            <w:tcW w:w="731" w:type="dxa"/>
            <w:vMerge w:val="restart"/>
            <w:tcBorders>
              <w:top w:val="single" w:color="auto" w:sz="4" w:space="0"/>
              <w:left w:val="single" w:color="auto" w:sz="4" w:space="0"/>
              <w:right w:val="single" w:color="auto" w:sz="4" w:space="0"/>
            </w:tcBorders>
          </w:tcPr>
          <w:p>
            <w:pPr>
              <w:widowControl/>
              <w:spacing w:line="380" w:lineRule="exact"/>
              <w:jc w:val="right"/>
              <w:rPr>
                <w:rFonts w:ascii="仿宋_GB2312" w:hAnsi="宋体" w:cs="宋体"/>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2" w:type="dxa"/>
            <w:tcBorders>
              <w:top w:val="nil"/>
              <w:left w:val="single" w:color="auto" w:sz="4" w:space="0"/>
              <w:bottom w:val="single" w:color="auto" w:sz="4" w:space="0"/>
              <w:right w:val="single" w:color="auto" w:sz="4" w:space="0"/>
            </w:tcBorders>
          </w:tcPr>
          <w:p>
            <w:pPr>
              <w:widowControl/>
              <w:spacing w:line="380" w:lineRule="exact"/>
              <w:jc w:val="center"/>
              <w:rPr>
                <w:rFonts w:ascii="仿宋_GB2312" w:hAnsi="宋体" w:cs="宋体"/>
                <w:color w:val="000000"/>
                <w:kern w:val="0"/>
                <w:sz w:val="21"/>
                <w:szCs w:val="21"/>
              </w:rPr>
            </w:pPr>
            <w:r>
              <w:rPr>
                <w:rFonts w:hint="eastAsia" w:ascii="仿宋_GB2312" w:hAnsi="宋体" w:cs="宋体"/>
                <w:color w:val="000000"/>
                <w:kern w:val="0"/>
                <w:sz w:val="21"/>
                <w:szCs w:val="21"/>
              </w:rPr>
              <w:t>评分</w:t>
            </w:r>
          </w:p>
        </w:tc>
        <w:tc>
          <w:tcPr>
            <w:tcW w:w="1275" w:type="dxa"/>
            <w:tcBorders>
              <w:top w:val="nil"/>
              <w:left w:val="single" w:color="auto" w:sz="4" w:space="0"/>
              <w:bottom w:val="single" w:color="auto" w:sz="4" w:space="0"/>
              <w:right w:val="single" w:color="auto" w:sz="4" w:space="0"/>
            </w:tcBorders>
          </w:tcPr>
          <w:p>
            <w:pPr>
              <w:widowControl/>
              <w:spacing w:line="380" w:lineRule="exact"/>
              <w:jc w:val="center"/>
              <w:rPr>
                <w:rFonts w:ascii="仿宋_GB2312" w:hAnsi="宋体" w:cs="宋体"/>
                <w:color w:val="000000"/>
                <w:kern w:val="0"/>
                <w:sz w:val="21"/>
                <w:szCs w:val="21"/>
              </w:rPr>
            </w:pPr>
            <w:r>
              <w:rPr>
                <w:rFonts w:hint="eastAsia" w:ascii="仿宋_GB2312" w:hAnsi="宋体" w:cs="宋体"/>
                <w:color w:val="000000"/>
                <w:kern w:val="0"/>
                <w:sz w:val="21"/>
                <w:szCs w:val="21"/>
              </w:rPr>
              <w:t>0</w:t>
            </w:r>
          </w:p>
        </w:tc>
        <w:tc>
          <w:tcPr>
            <w:tcW w:w="1418" w:type="dxa"/>
            <w:tcBorders>
              <w:top w:val="nil"/>
              <w:left w:val="single" w:color="auto" w:sz="4" w:space="0"/>
              <w:bottom w:val="single" w:color="auto" w:sz="4" w:space="0"/>
              <w:right w:val="single" w:color="auto" w:sz="4" w:space="0"/>
            </w:tcBorders>
          </w:tcPr>
          <w:p>
            <w:pPr>
              <w:widowControl/>
              <w:spacing w:line="380" w:lineRule="exact"/>
              <w:jc w:val="center"/>
              <w:rPr>
                <w:rFonts w:ascii="仿宋_GB2312" w:hAnsi="宋体" w:cs="宋体"/>
                <w:color w:val="000000"/>
                <w:kern w:val="0"/>
                <w:sz w:val="21"/>
                <w:szCs w:val="21"/>
              </w:rPr>
            </w:pPr>
            <w:r>
              <w:rPr>
                <w:rFonts w:hint="eastAsia" w:ascii="仿宋_GB2312" w:hAnsi="宋体" w:cs="宋体"/>
                <w:color w:val="000000"/>
                <w:kern w:val="0"/>
                <w:sz w:val="21"/>
                <w:szCs w:val="21"/>
              </w:rPr>
              <w:t>1</w:t>
            </w:r>
          </w:p>
        </w:tc>
        <w:tc>
          <w:tcPr>
            <w:tcW w:w="1559" w:type="dxa"/>
            <w:tcBorders>
              <w:top w:val="nil"/>
              <w:left w:val="single" w:color="auto" w:sz="4" w:space="0"/>
              <w:bottom w:val="single" w:color="auto" w:sz="4" w:space="0"/>
              <w:right w:val="single" w:color="auto" w:sz="4" w:space="0"/>
            </w:tcBorders>
          </w:tcPr>
          <w:p>
            <w:pPr>
              <w:widowControl/>
              <w:spacing w:line="380" w:lineRule="exact"/>
              <w:jc w:val="center"/>
              <w:rPr>
                <w:rFonts w:ascii="仿宋_GB2312" w:hAnsi="宋体" w:cs="宋体"/>
                <w:color w:val="000000"/>
                <w:kern w:val="0"/>
                <w:sz w:val="21"/>
                <w:szCs w:val="21"/>
              </w:rPr>
            </w:pPr>
            <w:r>
              <w:rPr>
                <w:rFonts w:hint="eastAsia" w:ascii="仿宋_GB2312" w:hAnsi="宋体" w:cs="宋体"/>
                <w:color w:val="000000"/>
                <w:kern w:val="0"/>
                <w:sz w:val="21"/>
                <w:szCs w:val="21"/>
              </w:rPr>
              <w:t>3</w:t>
            </w:r>
          </w:p>
        </w:tc>
        <w:tc>
          <w:tcPr>
            <w:tcW w:w="1276" w:type="dxa"/>
            <w:tcBorders>
              <w:top w:val="nil"/>
              <w:left w:val="single" w:color="auto" w:sz="4" w:space="0"/>
              <w:bottom w:val="single" w:color="auto" w:sz="4" w:space="0"/>
              <w:right w:val="single" w:color="auto" w:sz="4" w:space="0"/>
            </w:tcBorders>
          </w:tcPr>
          <w:p>
            <w:pPr>
              <w:widowControl/>
              <w:spacing w:line="380" w:lineRule="exact"/>
              <w:jc w:val="center"/>
              <w:rPr>
                <w:rFonts w:ascii="仿宋_GB2312" w:hAnsi="宋体" w:cs="宋体"/>
                <w:color w:val="000000"/>
                <w:kern w:val="0"/>
                <w:sz w:val="21"/>
                <w:szCs w:val="21"/>
              </w:rPr>
            </w:pPr>
            <w:r>
              <w:rPr>
                <w:rFonts w:hint="eastAsia" w:ascii="仿宋_GB2312" w:hAnsi="宋体" w:cs="宋体"/>
                <w:color w:val="000000"/>
                <w:kern w:val="0"/>
                <w:sz w:val="21"/>
                <w:szCs w:val="21"/>
              </w:rPr>
              <w:t>7</w:t>
            </w:r>
          </w:p>
        </w:tc>
        <w:tc>
          <w:tcPr>
            <w:tcW w:w="731" w:type="dxa"/>
            <w:vMerge w:val="continue"/>
            <w:tcBorders>
              <w:left w:val="single" w:color="auto" w:sz="4" w:space="0"/>
              <w:bottom w:val="single" w:color="auto" w:sz="4" w:space="0"/>
              <w:right w:val="single" w:color="auto" w:sz="4" w:space="0"/>
            </w:tcBorders>
          </w:tcPr>
          <w:p>
            <w:pPr>
              <w:widowControl/>
              <w:spacing w:line="380" w:lineRule="exact"/>
              <w:jc w:val="right"/>
              <w:rPr>
                <w:rFonts w:ascii="仿宋_GB2312" w:hAnsi="宋体" w:cs="宋体"/>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2" w:type="dxa"/>
            <w:tcBorders>
              <w:top w:val="single" w:color="auto" w:sz="4" w:space="0"/>
              <w:left w:val="single" w:color="auto" w:sz="4" w:space="0"/>
              <w:bottom w:val="nil"/>
              <w:right w:val="single" w:color="auto" w:sz="4" w:space="0"/>
            </w:tcBorders>
          </w:tcPr>
          <w:p>
            <w:pPr>
              <w:widowControl/>
              <w:spacing w:line="380" w:lineRule="exact"/>
              <w:jc w:val="left"/>
              <w:rPr>
                <w:rFonts w:ascii="仿宋_GB2312" w:hAnsi="宋体" w:cs="宋体"/>
                <w:color w:val="000000"/>
                <w:kern w:val="0"/>
                <w:sz w:val="21"/>
                <w:szCs w:val="21"/>
              </w:rPr>
            </w:pPr>
            <w:r>
              <w:rPr>
                <w:rFonts w:hint="eastAsia" w:ascii="仿宋_GB2312" w:hAnsi="宋体" w:cs="宋体"/>
                <w:color w:val="000000"/>
                <w:kern w:val="0"/>
                <w:sz w:val="21"/>
                <w:szCs w:val="21"/>
              </w:rPr>
              <w:t>穿衣：穿衣裤、袜子、鞋子等活动</w:t>
            </w:r>
          </w:p>
        </w:tc>
        <w:tc>
          <w:tcPr>
            <w:tcW w:w="1275" w:type="dxa"/>
            <w:tcBorders>
              <w:top w:val="single" w:color="auto" w:sz="4" w:space="0"/>
              <w:left w:val="single" w:color="auto" w:sz="4" w:space="0"/>
              <w:bottom w:val="nil"/>
              <w:right w:val="single" w:color="auto" w:sz="4" w:space="0"/>
            </w:tcBorders>
            <w:vAlign w:val="center"/>
          </w:tcPr>
          <w:p>
            <w:pPr>
              <w:widowControl/>
              <w:spacing w:line="380" w:lineRule="exact"/>
              <w:jc w:val="center"/>
              <w:rPr>
                <w:rFonts w:ascii="仿宋_GB2312" w:hAnsi="宋体" w:cs="宋体"/>
                <w:color w:val="000000"/>
                <w:kern w:val="0"/>
                <w:sz w:val="21"/>
                <w:szCs w:val="21"/>
              </w:rPr>
            </w:pPr>
            <w:r>
              <w:rPr>
                <w:rFonts w:hint="eastAsia" w:ascii="仿宋_GB2312" w:hAnsi="宋体" w:cs="宋体"/>
                <w:color w:val="000000"/>
                <w:kern w:val="0"/>
                <w:sz w:val="21"/>
                <w:szCs w:val="21"/>
              </w:rPr>
              <w:t>独立完成</w:t>
            </w:r>
          </w:p>
        </w:tc>
        <w:tc>
          <w:tcPr>
            <w:tcW w:w="1418" w:type="dxa"/>
            <w:tcBorders>
              <w:top w:val="single" w:color="auto" w:sz="4" w:space="0"/>
              <w:left w:val="single" w:color="auto" w:sz="4" w:space="0"/>
              <w:bottom w:val="nil"/>
              <w:right w:val="single" w:color="auto" w:sz="4" w:space="0"/>
            </w:tcBorders>
            <w:vAlign w:val="center"/>
          </w:tcPr>
          <w:p>
            <w:pPr>
              <w:widowControl/>
              <w:spacing w:line="380" w:lineRule="exact"/>
              <w:jc w:val="center"/>
              <w:rPr>
                <w:rFonts w:ascii="仿宋_GB2312" w:hAnsi="宋体" w:cs="宋体"/>
                <w:color w:val="000000"/>
                <w:kern w:val="0"/>
                <w:sz w:val="21"/>
                <w:szCs w:val="21"/>
              </w:rPr>
            </w:pPr>
            <w:r>
              <w:rPr>
                <w:rFonts w:hint="eastAsia" w:ascii="仿宋_GB2312" w:hAnsi="宋体" w:cs="宋体"/>
                <w:color w:val="000000"/>
                <w:kern w:val="0"/>
                <w:sz w:val="21"/>
                <w:szCs w:val="21"/>
              </w:rPr>
              <w:t>—</w:t>
            </w:r>
          </w:p>
        </w:tc>
        <w:tc>
          <w:tcPr>
            <w:tcW w:w="1559" w:type="dxa"/>
            <w:tcBorders>
              <w:top w:val="single" w:color="auto" w:sz="4" w:space="0"/>
              <w:left w:val="single" w:color="auto" w:sz="4" w:space="0"/>
              <w:bottom w:val="nil"/>
              <w:right w:val="single" w:color="auto" w:sz="4" w:space="0"/>
            </w:tcBorders>
          </w:tcPr>
          <w:p>
            <w:pPr>
              <w:widowControl/>
              <w:spacing w:line="380" w:lineRule="exact"/>
              <w:jc w:val="left"/>
              <w:rPr>
                <w:rFonts w:ascii="仿宋_GB2312" w:hAnsi="宋体" w:cs="宋体"/>
                <w:color w:val="000000"/>
                <w:kern w:val="0"/>
                <w:sz w:val="21"/>
                <w:szCs w:val="21"/>
              </w:rPr>
            </w:pPr>
            <w:r>
              <w:rPr>
                <w:rFonts w:hint="eastAsia" w:ascii="仿宋_GB2312" w:hAnsi="宋体" w:cs="宋体"/>
                <w:color w:val="000000"/>
                <w:kern w:val="0"/>
                <w:sz w:val="21"/>
                <w:szCs w:val="21"/>
              </w:rPr>
              <w:t>需要协助，在适当的时间内完成部分穿衣</w:t>
            </w:r>
          </w:p>
        </w:tc>
        <w:tc>
          <w:tcPr>
            <w:tcW w:w="1276" w:type="dxa"/>
            <w:tcBorders>
              <w:top w:val="single" w:color="auto" w:sz="4" w:space="0"/>
              <w:left w:val="single" w:color="auto" w:sz="4" w:space="0"/>
              <w:bottom w:val="nil"/>
              <w:right w:val="single" w:color="auto" w:sz="4" w:space="0"/>
            </w:tcBorders>
          </w:tcPr>
          <w:p>
            <w:pPr>
              <w:widowControl/>
              <w:spacing w:line="380" w:lineRule="exact"/>
              <w:jc w:val="left"/>
              <w:rPr>
                <w:rFonts w:ascii="仿宋_GB2312" w:hAnsi="宋体" w:cs="宋体"/>
                <w:color w:val="000000"/>
                <w:kern w:val="0"/>
                <w:sz w:val="21"/>
                <w:szCs w:val="21"/>
              </w:rPr>
            </w:pPr>
            <w:r>
              <w:rPr>
                <w:rFonts w:hint="eastAsia" w:ascii="仿宋_GB2312" w:hAnsi="宋体" w:cs="宋体"/>
                <w:color w:val="000000"/>
                <w:kern w:val="0"/>
                <w:sz w:val="21"/>
                <w:szCs w:val="21"/>
              </w:rPr>
              <w:t>完全需要帮助</w:t>
            </w:r>
          </w:p>
        </w:tc>
        <w:tc>
          <w:tcPr>
            <w:tcW w:w="731" w:type="dxa"/>
            <w:vMerge w:val="restart"/>
            <w:tcBorders>
              <w:top w:val="single" w:color="auto" w:sz="4" w:space="0"/>
              <w:left w:val="single" w:color="auto" w:sz="4" w:space="0"/>
              <w:right w:val="single" w:color="auto" w:sz="4" w:space="0"/>
            </w:tcBorders>
          </w:tcPr>
          <w:p>
            <w:pPr>
              <w:widowControl/>
              <w:spacing w:line="380" w:lineRule="exact"/>
              <w:jc w:val="right"/>
              <w:rPr>
                <w:rFonts w:ascii="仿宋_GB2312" w:hAnsi="宋体" w:cs="宋体"/>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2" w:type="dxa"/>
            <w:tcBorders>
              <w:top w:val="nil"/>
              <w:left w:val="single" w:color="auto" w:sz="4" w:space="0"/>
              <w:bottom w:val="single" w:color="auto" w:sz="4" w:space="0"/>
              <w:right w:val="single" w:color="auto" w:sz="4" w:space="0"/>
            </w:tcBorders>
          </w:tcPr>
          <w:p>
            <w:pPr>
              <w:widowControl/>
              <w:spacing w:line="380" w:lineRule="exact"/>
              <w:jc w:val="center"/>
              <w:rPr>
                <w:rFonts w:ascii="仿宋_GB2312" w:hAnsi="宋体" w:cs="宋体"/>
                <w:color w:val="000000"/>
                <w:kern w:val="0"/>
                <w:sz w:val="21"/>
                <w:szCs w:val="21"/>
              </w:rPr>
            </w:pPr>
            <w:r>
              <w:rPr>
                <w:rFonts w:hint="eastAsia" w:ascii="仿宋_GB2312" w:hAnsi="宋体" w:cs="宋体"/>
                <w:color w:val="000000"/>
                <w:kern w:val="0"/>
                <w:sz w:val="21"/>
                <w:szCs w:val="21"/>
              </w:rPr>
              <w:t>评分</w:t>
            </w:r>
          </w:p>
        </w:tc>
        <w:tc>
          <w:tcPr>
            <w:tcW w:w="1275" w:type="dxa"/>
            <w:tcBorders>
              <w:top w:val="nil"/>
              <w:left w:val="single" w:color="auto" w:sz="4" w:space="0"/>
              <w:bottom w:val="single" w:color="auto" w:sz="4" w:space="0"/>
              <w:right w:val="single" w:color="auto" w:sz="4" w:space="0"/>
            </w:tcBorders>
          </w:tcPr>
          <w:p>
            <w:pPr>
              <w:widowControl/>
              <w:spacing w:line="380" w:lineRule="exact"/>
              <w:jc w:val="center"/>
              <w:rPr>
                <w:rFonts w:ascii="仿宋_GB2312" w:hAnsi="宋体" w:cs="宋体"/>
                <w:color w:val="000000"/>
                <w:kern w:val="0"/>
                <w:sz w:val="21"/>
                <w:szCs w:val="21"/>
              </w:rPr>
            </w:pPr>
            <w:r>
              <w:rPr>
                <w:rFonts w:hint="eastAsia" w:ascii="仿宋_GB2312" w:hAnsi="宋体" w:cs="宋体"/>
                <w:color w:val="000000"/>
                <w:kern w:val="0"/>
                <w:sz w:val="21"/>
                <w:szCs w:val="21"/>
              </w:rPr>
              <w:t>0</w:t>
            </w:r>
          </w:p>
        </w:tc>
        <w:tc>
          <w:tcPr>
            <w:tcW w:w="1418" w:type="dxa"/>
            <w:tcBorders>
              <w:top w:val="nil"/>
              <w:left w:val="single" w:color="auto" w:sz="4" w:space="0"/>
              <w:bottom w:val="single" w:color="auto" w:sz="4" w:space="0"/>
              <w:right w:val="single" w:color="auto" w:sz="4" w:space="0"/>
            </w:tcBorders>
          </w:tcPr>
          <w:p>
            <w:pPr>
              <w:widowControl/>
              <w:spacing w:line="380" w:lineRule="exact"/>
              <w:jc w:val="center"/>
              <w:rPr>
                <w:rFonts w:ascii="仿宋_GB2312" w:hAnsi="宋体" w:cs="宋体"/>
                <w:color w:val="000000"/>
                <w:kern w:val="0"/>
                <w:sz w:val="21"/>
                <w:szCs w:val="21"/>
              </w:rPr>
            </w:pPr>
            <w:r>
              <w:rPr>
                <w:rFonts w:hint="eastAsia" w:ascii="仿宋_GB2312" w:hAnsi="宋体" w:cs="宋体"/>
                <w:color w:val="000000"/>
                <w:kern w:val="0"/>
                <w:sz w:val="21"/>
                <w:szCs w:val="21"/>
              </w:rPr>
              <w:t>0</w:t>
            </w:r>
          </w:p>
        </w:tc>
        <w:tc>
          <w:tcPr>
            <w:tcW w:w="1559" w:type="dxa"/>
            <w:tcBorders>
              <w:top w:val="nil"/>
              <w:left w:val="single" w:color="auto" w:sz="4" w:space="0"/>
              <w:bottom w:val="single" w:color="auto" w:sz="4" w:space="0"/>
              <w:right w:val="single" w:color="auto" w:sz="4" w:space="0"/>
            </w:tcBorders>
          </w:tcPr>
          <w:p>
            <w:pPr>
              <w:widowControl/>
              <w:spacing w:line="380" w:lineRule="exact"/>
              <w:jc w:val="center"/>
              <w:rPr>
                <w:rFonts w:ascii="仿宋_GB2312" w:hAnsi="宋体" w:cs="宋体"/>
                <w:color w:val="000000"/>
                <w:kern w:val="0"/>
                <w:sz w:val="21"/>
                <w:szCs w:val="21"/>
              </w:rPr>
            </w:pPr>
            <w:r>
              <w:rPr>
                <w:rFonts w:hint="eastAsia" w:ascii="仿宋_GB2312" w:hAnsi="宋体" w:cs="宋体"/>
                <w:color w:val="000000"/>
                <w:kern w:val="0"/>
                <w:sz w:val="21"/>
                <w:szCs w:val="21"/>
              </w:rPr>
              <w:t>3</w:t>
            </w:r>
          </w:p>
        </w:tc>
        <w:tc>
          <w:tcPr>
            <w:tcW w:w="1276" w:type="dxa"/>
            <w:tcBorders>
              <w:top w:val="nil"/>
              <w:left w:val="single" w:color="auto" w:sz="4" w:space="0"/>
              <w:bottom w:val="single" w:color="auto" w:sz="4" w:space="0"/>
              <w:right w:val="single" w:color="auto" w:sz="4" w:space="0"/>
            </w:tcBorders>
          </w:tcPr>
          <w:p>
            <w:pPr>
              <w:widowControl/>
              <w:spacing w:line="380" w:lineRule="exact"/>
              <w:jc w:val="center"/>
              <w:rPr>
                <w:rFonts w:ascii="仿宋_GB2312" w:hAnsi="宋体" w:cs="宋体"/>
                <w:color w:val="000000"/>
                <w:kern w:val="0"/>
                <w:sz w:val="21"/>
                <w:szCs w:val="21"/>
              </w:rPr>
            </w:pPr>
            <w:r>
              <w:rPr>
                <w:rFonts w:hint="eastAsia" w:ascii="仿宋_GB2312" w:hAnsi="宋体" w:cs="宋体"/>
                <w:color w:val="000000"/>
                <w:kern w:val="0"/>
                <w:sz w:val="21"/>
                <w:szCs w:val="21"/>
              </w:rPr>
              <w:t>5</w:t>
            </w:r>
          </w:p>
        </w:tc>
        <w:tc>
          <w:tcPr>
            <w:tcW w:w="731" w:type="dxa"/>
            <w:vMerge w:val="continue"/>
            <w:tcBorders>
              <w:left w:val="single" w:color="auto" w:sz="4" w:space="0"/>
              <w:bottom w:val="single" w:color="auto" w:sz="4" w:space="0"/>
              <w:right w:val="single" w:color="auto" w:sz="4" w:space="0"/>
            </w:tcBorders>
          </w:tcPr>
          <w:p>
            <w:pPr>
              <w:widowControl/>
              <w:spacing w:line="380" w:lineRule="exact"/>
              <w:jc w:val="right"/>
              <w:rPr>
                <w:rFonts w:ascii="仿宋_GB2312" w:hAnsi="宋体" w:cs="宋体"/>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2" w:type="dxa"/>
            <w:tcBorders>
              <w:top w:val="single" w:color="auto" w:sz="4" w:space="0"/>
              <w:left w:val="single" w:color="auto" w:sz="4" w:space="0"/>
              <w:bottom w:val="nil"/>
              <w:right w:val="single" w:color="auto" w:sz="4" w:space="0"/>
            </w:tcBorders>
          </w:tcPr>
          <w:p>
            <w:pPr>
              <w:widowControl/>
              <w:spacing w:line="380" w:lineRule="exact"/>
              <w:jc w:val="left"/>
              <w:rPr>
                <w:rFonts w:ascii="仿宋_GB2312" w:hAnsi="宋体" w:cs="宋体"/>
                <w:color w:val="000000"/>
                <w:kern w:val="0"/>
                <w:sz w:val="21"/>
                <w:szCs w:val="21"/>
              </w:rPr>
            </w:pPr>
            <w:r>
              <w:rPr>
                <w:rFonts w:hint="eastAsia" w:ascii="仿宋_GB2312" w:hAnsi="宋体" w:cs="宋体"/>
                <w:color w:val="000000"/>
                <w:kern w:val="0"/>
                <w:sz w:val="21"/>
                <w:szCs w:val="21"/>
              </w:rPr>
              <w:t>如厕：小便、大便等活动及自控</w:t>
            </w:r>
          </w:p>
        </w:tc>
        <w:tc>
          <w:tcPr>
            <w:tcW w:w="1275" w:type="dxa"/>
            <w:tcBorders>
              <w:top w:val="single" w:color="auto" w:sz="4" w:space="0"/>
              <w:left w:val="single" w:color="auto" w:sz="4" w:space="0"/>
              <w:bottom w:val="nil"/>
              <w:right w:val="single" w:color="auto" w:sz="4" w:space="0"/>
            </w:tcBorders>
          </w:tcPr>
          <w:p>
            <w:pPr>
              <w:widowControl/>
              <w:spacing w:line="380" w:lineRule="exact"/>
              <w:jc w:val="center"/>
              <w:rPr>
                <w:rFonts w:ascii="仿宋_GB2312" w:hAnsi="宋体" w:cs="宋体"/>
                <w:color w:val="000000"/>
                <w:kern w:val="0"/>
                <w:sz w:val="21"/>
                <w:szCs w:val="21"/>
              </w:rPr>
            </w:pPr>
            <w:r>
              <w:rPr>
                <w:rFonts w:hint="eastAsia" w:ascii="仿宋_GB2312" w:hAnsi="宋体" w:cs="宋体"/>
                <w:color w:val="000000"/>
                <w:kern w:val="0"/>
                <w:sz w:val="21"/>
                <w:szCs w:val="21"/>
              </w:rPr>
              <w:t>不需协助，可自控</w:t>
            </w:r>
          </w:p>
        </w:tc>
        <w:tc>
          <w:tcPr>
            <w:tcW w:w="1418" w:type="dxa"/>
            <w:tcBorders>
              <w:top w:val="single" w:color="auto" w:sz="4" w:space="0"/>
              <w:left w:val="single" w:color="auto" w:sz="4" w:space="0"/>
              <w:bottom w:val="nil"/>
              <w:right w:val="single" w:color="auto" w:sz="4" w:space="0"/>
            </w:tcBorders>
          </w:tcPr>
          <w:p>
            <w:pPr>
              <w:widowControl/>
              <w:spacing w:line="380" w:lineRule="exact"/>
              <w:jc w:val="left"/>
              <w:rPr>
                <w:rFonts w:ascii="仿宋_GB2312" w:hAnsi="宋体" w:cs="宋体"/>
                <w:color w:val="000000"/>
                <w:kern w:val="0"/>
                <w:sz w:val="21"/>
                <w:szCs w:val="21"/>
              </w:rPr>
            </w:pPr>
            <w:r>
              <w:rPr>
                <w:rFonts w:hint="eastAsia" w:ascii="仿宋_GB2312" w:hAnsi="宋体" w:cs="宋体"/>
                <w:color w:val="000000"/>
                <w:kern w:val="0"/>
                <w:sz w:val="21"/>
                <w:szCs w:val="21"/>
              </w:rPr>
              <w:t>偶尔失禁，但基本上能如厕或使用便具</w:t>
            </w:r>
          </w:p>
        </w:tc>
        <w:tc>
          <w:tcPr>
            <w:tcW w:w="1559" w:type="dxa"/>
            <w:tcBorders>
              <w:top w:val="single" w:color="auto" w:sz="4" w:space="0"/>
              <w:left w:val="single" w:color="auto" w:sz="4" w:space="0"/>
              <w:bottom w:val="nil"/>
              <w:right w:val="single" w:color="auto" w:sz="4" w:space="0"/>
            </w:tcBorders>
          </w:tcPr>
          <w:p>
            <w:pPr>
              <w:widowControl/>
              <w:spacing w:line="380" w:lineRule="exact"/>
              <w:jc w:val="left"/>
              <w:rPr>
                <w:rFonts w:ascii="仿宋_GB2312" w:hAnsi="宋体" w:cs="宋体"/>
                <w:color w:val="000000"/>
                <w:kern w:val="0"/>
                <w:sz w:val="21"/>
                <w:szCs w:val="21"/>
              </w:rPr>
            </w:pPr>
            <w:r>
              <w:rPr>
                <w:rFonts w:hint="eastAsia" w:ascii="仿宋_GB2312" w:hAnsi="宋体" w:cs="宋体"/>
                <w:color w:val="000000"/>
                <w:kern w:val="0"/>
                <w:sz w:val="21"/>
                <w:szCs w:val="21"/>
              </w:rPr>
              <w:t>经常失禁，在很多提示和协助下尚能如厕或使用便具</w:t>
            </w:r>
          </w:p>
        </w:tc>
        <w:tc>
          <w:tcPr>
            <w:tcW w:w="1276" w:type="dxa"/>
            <w:tcBorders>
              <w:top w:val="single" w:color="auto" w:sz="4" w:space="0"/>
              <w:left w:val="single" w:color="auto" w:sz="4" w:space="0"/>
              <w:bottom w:val="nil"/>
              <w:right w:val="single" w:color="auto" w:sz="4" w:space="0"/>
            </w:tcBorders>
          </w:tcPr>
          <w:p>
            <w:pPr>
              <w:widowControl/>
              <w:spacing w:line="380" w:lineRule="exact"/>
              <w:jc w:val="left"/>
              <w:rPr>
                <w:rFonts w:ascii="仿宋_GB2312" w:hAnsi="宋体" w:cs="宋体"/>
                <w:color w:val="000000"/>
                <w:kern w:val="0"/>
                <w:sz w:val="21"/>
                <w:szCs w:val="21"/>
              </w:rPr>
            </w:pPr>
            <w:r>
              <w:rPr>
                <w:rFonts w:hint="eastAsia" w:ascii="仿宋_GB2312" w:hAnsi="宋体" w:cs="宋体"/>
                <w:color w:val="000000"/>
                <w:kern w:val="0"/>
                <w:sz w:val="21"/>
                <w:szCs w:val="21"/>
              </w:rPr>
              <w:t>完全失禁，完全需要帮助</w:t>
            </w:r>
          </w:p>
        </w:tc>
        <w:tc>
          <w:tcPr>
            <w:tcW w:w="731" w:type="dxa"/>
            <w:vMerge w:val="restart"/>
            <w:tcBorders>
              <w:top w:val="single" w:color="auto" w:sz="4" w:space="0"/>
              <w:left w:val="single" w:color="auto" w:sz="4" w:space="0"/>
              <w:right w:val="single" w:color="auto" w:sz="4" w:space="0"/>
            </w:tcBorders>
          </w:tcPr>
          <w:p>
            <w:pPr>
              <w:widowControl/>
              <w:spacing w:line="380" w:lineRule="exact"/>
              <w:jc w:val="right"/>
              <w:rPr>
                <w:rFonts w:ascii="仿宋_GB2312" w:hAnsi="宋体" w:cs="宋体"/>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2" w:type="dxa"/>
            <w:tcBorders>
              <w:top w:val="nil"/>
              <w:left w:val="single" w:color="auto" w:sz="4" w:space="0"/>
              <w:bottom w:val="single" w:color="auto" w:sz="4" w:space="0"/>
              <w:right w:val="single" w:color="auto" w:sz="4" w:space="0"/>
            </w:tcBorders>
          </w:tcPr>
          <w:p>
            <w:pPr>
              <w:widowControl/>
              <w:spacing w:line="380" w:lineRule="exact"/>
              <w:jc w:val="center"/>
              <w:rPr>
                <w:rFonts w:ascii="仿宋_GB2312" w:hAnsi="宋体" w:cs="宋体"/>
                <w:color w:val="000000"/>
                <w:kern w:val="0"/>
                <w:sz w:val="21"/>
                <w:szCs w:val="21"/>
              </w:rPr>
            </w:pPr>
            <w:r>
              <w:rPr>
                <w:rFonts w:hint="eastAsia" w:ascii="仿宋_GB2312" w:hAnsi="宋体" w:cs="宋体"/>
                <w:color w:val="000000"/>
                <w:kern w:val="0"/>
                <w:sz w:val="21"/>
                <w:szCs w:val="21"/>
              </w:rPr>
              <w:t>评分</w:t>
            </w:r>
          </w:p>
        </w:tc>
        <w:tc>
          <w:tcPr>
            <w:tcW w:w="1275" w:type="dxa"/>
            <w:tcBorders>
              <w:top w:val="nil"/>
              <w:left w:val="single" w:color="auto" w:sz="4" w:space="0"/>
              <w:bottom w:val="single" w:color="auto" w:sz="4" w:space="0"/>
              <w:right w:val="single" w:color="auto" w:sz="4" w:space="0"/>
            </w:tcBorders>
          </w:tcPr>
          <w:p>
            <w:pPr>
              <w:widowControl/>
              <w:spacing w:line="380" w:lineRule="exact"/>
              <w:jc w:val="center"/>
              <w:rPr>
                <w:rFonts w:ascii="仿宋_GB2312" w:hAnsi="宋体" w:cs="宋体"/>
                <w:color w:val="000000"/>
                <w:kern w:val="0"/>
                <w:sz w:val="21"/>
                <w:szCs w:val="21"/>
              </w:rPr>
            </w:pPr>
            <w:r>
              <w:rPr>
                <w:rFonts w:hint="eastAsia" w:ascii="仿宋_GB2312" w:hAnsi="宋体" w:cs="宋体"/>
                <w:color w:val="000000"/>
                <w:kern w:val="0"/>
                <w:sz w:val="21"/>
                <w:szCs w:val="21"/>
              </w:rPr>
              <w:t>0</w:t>
            </w:r>
          </w:p>
        </w:tc>
        <w:tc>
          <w:tcPr>
            <w:tcW w:w="1418" w:type="dxa"/>
            <w:tcBorders>
              <w:top w:val="nil"/>
              <w:left w:val="single" w:color="auto" w:sz="4" w:space="0"/>
              <w:bottom w:val="single" w:color="auto" w:sz="4" w:space="0"/>
              <w:right w:val="single" w:color="auto" w:sz="4" w:space="0"/>
            </w:tcBorders>
          </w:tcPr>
          <w:p>
            <w:pPr>
              <w:widowControl/>
              <w:spacing w:line="380" w:lineRule="exact"/>
              <w:jc w:val="center"/>
              <w:rPr>
                <w:rFonts w:ascii="仿宋_GB2312" w:hAnsi="宋体" w:cs="宋体"/>
                <w:color w:val="000000"/>
                <w:kern w:val="0"/>
                <w:sz w:val="21"/>
                <w:szCs w:val="21"/>
              </w:rPr>
            </w:pPr>
            <w:r>
              <w:rPr>
                <w:rFonts w:hint="eastAsia" w:ascii="仿宋_GB2312" w:hAnsi="宋体" w:cs="宋体"/>
                <w:color w:val="000000"/>
                <w:kern w:val="0"/>
                <w:sz w:val="21"/>
                <w:szCs w:val="21"/>
              </w:rPr>
              <w:t>1</w:t>
            </w:r>
          </w:p>
        </w:tc>
        <w:tc>
          <w:tcPr>
            <w:tcW w:w="1559" w:type="dxa"/>
            <w:tcBorders>
              <w:top w:val="nil"/>
              <w:left w:val="single" w:color="auto" w:sz="4" w:space="0"/>
              <w:bottom w:val="single" w:color="auto" w:sz="4" w:space="0"/>
              <w:right w:val="single" w:color="auto" w:sz="4" w:space="0"/>
            </w:tcBorders>
          </w:tcPr>
          <w:p>
            <w:pPr>
              <w:widowControl/>
              <w:spacing w:line="380" w:lineRule="exact"/>
              <w:jc w:val="center"/>
              <w:rPr>
                <w:rFonts w:ascii="仿宋_GB2312" w:hAnsi="宋体" w:cs="宋体"/>
                <w:color w:val="000000"/>
                <w:kern w:val="0"/>
                <w:sz w:val="21"/>
                <w:szCs w:val="21"/>
              </w:rPr>
            </w:pPr>
            <w:r>
              <w:rPr>
                <w:rFonts w:hint="eastAsia" w:ascii="仿宋_GB2312" w:hAnsi="宋体" w:cs="宋体"/>
                <w:color w:val="000000"/>
                <w:kern w:val="0"/>
                <w:sz w:val="21"/>
                <w:szCs w:val="21"/>
              </w:rPr>
              <w:t>5</w:t>
            </w:r>
          </w:p>
        </w:tc>
        <w:tc>
          <w:tcPr>
            <w:tcW w:w="1276" w:type="dxa"/>
            <w:tcBorders>
              <w:top w:val="nil"/>
              <w:left w:val="single" w:color="auto" w:sz="4" w:space="0"/>
              <w:bottom w:val="single" w:color="auto" w:sz="4" w:space="0"/>
              <w:right w:val="single" w:color="auto" w:sz="4" w:space="0"/>
            </w:tcBorders>
          </w:tcPr>
          <w:p>
            <w:pPr>
              <w:widowControl/>
              <w:spacing w:line="380" w:lineRule="exact"/>
              <w:jc w:val="center"/>
              <w:rPr>
                <w:rFonts w:ascii="仿宋_GB2312" w:hAnsi="宋体" w:cs="宋体"/>
                <w:color w:val="000000"/>
                <w:kern w:val="0"/>
                <w:sz w:val="21"/>
                <w:szCs w:val="21"/>
              </w:rPr>
            </w:pPr>
            <w:r>
              <w:rPr>
                <w:rFonts w:hint="eastAsia" w:ascii="仿宋_GB2312" w:hAnsi="宋体" w:cs="宋体"/>
                <w:color w:val="000000"/>
                <w:kern w:val="0"/>
                <w:sz w:val="21"/>
                <w:szCs w:val="21"/>
              </w:rPr>
              <w:t>10</w:t>
            </w:r>
          </w:p>
        </w:tc>
        <w:tc>
          <w:tcPr>
            <w:tcW w:w="731" w:type="dxa"/>
            <w:vMerge w:val="continue"/>
            <w:tcBorders>
              <w:left w:val="single" w:color="auto" w:sz="4" w:space="0"/>
              <w:bottom w:val="single" w:color="auto" w:sz="4" w:space="0"/>
              <w:right w:val="single" w:color="auto" w:sz="4" w:space="0"/>
            </w:tcBorders>
          </w:tcPr>
          <w:p>
            <w:pPr>
              <w:widowControl/>
              <w:spacing w:line="380" w:lineRule="exact"/>
              <w:jc w:val="right"/>
              <w:rPr>
                <w:rFonts w:ascii="仿宋_GB2312" w:hAnsi="宋体" w:cs="宋体"/>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2" w:type="dxa"/>
            <w:tcBorders>
              <w:top w:val="single" w:color="auto" w:sz="4" w:space="0"/>
              <w:left w:val="single" w:color="auto" w:sz="4" w:space="0"/>
              <w:bottom w:val="nil"/>
              <w:right w:val="single" w:color="auto" w:sz="4" w:space="0"/>
            </w:tcBorders>
          </w:tcPr>
          <w:p>
            <w:pPr>
              <w:widowControl/>
              <w:spacing w:line="380" w:lineRule="exact"/>
              <w:jc w:val="left"/>
              <w:rPr>
                <w:rFonts w:ascii="仿宋_GB2312" w:hAnsi="宋体" w:cs="宋体"/>
                <w:color w:val="000000"/>
                <w:kern w:val="0"/>
                <w:sz w:val="21"/>
                <w:szCs w:val="21"/>
              </w:rPr>
            </w:pPr>
            <w:r>
              <w:rPr>
                <w:rFonts w:hint="eastAsia" w:ascii="仿宋_GB2312" w:hAnsi="宋体" w:cs="宋体"/>
                <w:color w:val="000000"/>
                <w:kern w:val="0"/>
                <w:sz w:val="21"/>
                <w:szCs w:val="21"/>
              </w:rPr>
              <w:t>活动：站立、室内行走、上下楼梯、户外活动</w:t>
            </w:r>
          </w:p>
        </w:tc>
        <w:tc>
          <w:tcPr>
            <w:tcW w:w="1275" w:type="dxa"/>
            <w:tcBorders>
              <w:top w:val="single" w:color="auto" w:sz="4" w:space="0"/>
              <w:left w:val="single" w:color="auto" w:sz="4" w:space="0"/>
              <w:bottom w:val="nil"/>
              <w:right w:val="single" w:color="auto" w:sz="4" w:space="0"/>
            </w:tcBorders>
          </w:tcPr>
          <w:p>
            <w:pPr>
              <w:widowControl/>
              <w:spacing w:line="380" w:lineRule="exact"/>
              <w:jc w:val="center"/>
              <w:rPr>
                <w:rFonts w:ascii="仿宋_GB2312" w:hAnsi="宋体" w:cs="宋体"/>
                <w:color w:val="000000"/>
                <w:kern w:val="0"/>
                <w:sz w:val="21"/>
                <w:szCs w:val="21"/>
              </w:rPr>
            </w:pPr>
            <w:r>
              <w:rPr>
                <w:rFonts w:hint="eastAsia" w:ascii="仿宋_GB2312" w:hAnsi="宋体" w:cs="宋体"/>
                <w:color w:val="000000"/>
                <w:kern w:val="0"/>
                <w:sz w:val="21"/>
                <w:szCs w:val="21"/>
              </w:rPr>
              <w:t>独立完成所有活动</w:t>
            </w:r>
          </w:p>
        </w:tc>
        <w:tc>
          <w:tcPr>
            <w:tcW w:w="1418" w:type="dxa"/>
            <w:tcBorders>
              <w:top w:val="single" w:color="auto" w:sz="4" w:space="0"/>
              <w:left w:val="single" w:color="auto" w:sz="4" w:space="0"/>
              <w:bottom w:val="nil"/>
              <w:right w:val="single" w:color="auto" w:sz="4" w:space="0"/>
            </w:tcBorders>
          </w:tcPr>
          <w:p>
            <w:pPr>
              <w:widowControl/>
              <w:spacing w:line="380" w:lineRule="exact"/>
              <w:jc w:val="left"/>
              <w:rPr>
                <w:rFonts w:ascii="仿宋_GB2312" w:hAnsi="宋体" w:cs="宋体"/>
                <w:color w:val="000000"/>
                <w:kern w:val="0"/>
                <w:sz w:val="21"/>
                <w:szCs w:val="21"/>
              </w:rPr>
            </w:pPr>
            <w:r>
              <w:rPr>
                <w:rFonts w:hint="eastAsia" w:ascii="仿宋_GB2312" w:hAnsi="宋体" w:cs="宋体"/>
                <w:color w:val="000000"/>
                <w:kern w:val="0"/>
                <w:sz w:val="21"/>
                <w:szCs w:val="21"/>
              </w:rPr>
              <w:t>借助较小的外力或辅助装置能完成站立、行走、上下楼梯等</w:t>
            </w:r>
          </w:p>
        </w:tc>
        <w:tc>
          <w:tcPr>
            <w:tcW w:w="1559" w:type="dxa"/>
            <w:tcBorders>
              <w:top w:val="single" w:color="auto" w:sz="4" w:space="0"/>
              <w:left w:val="single" w:color="auto" w:sz="4" w:space="0"/>
              <w:bottom w:val="nil"/>
              <w:right w:val="single" w:color="auto" w:sz="4" w:space="0"/>
            </w:tcBorders>
          </w:tcPr>
          <w:p>
            <w:pPr>
              <w:widowControl/>
              <w:spacing w:line="380" w:lineRule="exact"/>
              <w:jc w:val="left"/>
              <w:rPr>
                <w:rFonts w:ascii="仿宋_GB2312" w:hAnsi="宋体" w:cs="宋体"/>
                <w:color w:val="000000"/>
                <w:kern w:val="0"/>
                <w:sz w:val="21"/>
                <w:szCs w:val="21"/>
              </w:rPr>
            </w:pPr>
            <w:r>
              <w:rPr>
                <w:rFonts w:hint="eastAsia" w:ascii="仿宋_GB2312" w:hAnsi="宋体" w:cs="宋体"/>
                <w:color w:val="000000"/>
                <w:kern w:val="0"/>
                <w:sz w:val="21"/>
                <w:szCs w:val="21"/>
              </w:rPr>
              <w:t>借助较大的外力才能完成站立、行走，不能上下楼梯</w:t>
            </w:r>
          </w:p>
        </w:tc>
        <w:tc>
          <w:tcPr>
            <w:tcW w:w="1276" w:type="dxa"/>
            <w:tcBorders>
              <w:top w:val="single" w:color="auto" w:sz="4" w:space="0"/>
              <w:left w:val="single" w:color="auto" w:sz="4" w:space="0"/>
              <w:bottom w:val="nil"/>
              <w:right w:val="single" w:color="auto" w:sz="4" w:space="0"/>
            </w:tcBorders>
          </w:tcPr>
          <w:p>
            <w:pPr>
              <w:widowControl/>
              <w:spacing w:line="380" w:lineRule="exact"/>
              <w:jc w:val="left"/>
              <w:rPr>
                <w:rFonts w:ascii="仿宋_GB2312" w:hAnsi="宋体" w:cs="宋体"/>
                <w:color w:val="000000"/>
                <w:kern w:val="0"/>
                <w:sz w:val="21"/>
                <w:szCs w:val="21"/>
              </w:rPr>
            </w:pPr>
            <w:r>
              <w:rPr>
                <w:rFonts w:hint="eastAsia" w:ascii="仿宋_GB2312" w:hAnsi="宋体" w:cs="宋体"/>
                <w:color w:val="000000"/>
                <w:kern w:val="0"/>
                <w:sz w:val="21"/>
                <w:szCs w:val="21"/>
              </w:rPr>
              <w:t>卧床不起，活动完全需要帮助</w:t>
            </w:r>
          </w:p>
        </w:tc>
        <w:tc>
          <w:tcPr>
            <w:tcW w:w="731" w:type="dxa"/>
            <w:vMerge w:val="restart"/>
            <w:tcBorders>
              <w:top w:val="single" w:color="auto" w:sz="4" w:space="0"/>
              <w:left w:val="single" w:color="auto" w:sz="4" w:space="0"/>
              <w:right w:val="single" w:color="auto" w:sz="4" w:space="0"/>
            </w:tcBorders>
          </w:tcPr>
          <w:p>
            <w:pPr>
              <w:widowControl/>
              <w:spacing w:line="380" w:lineRule="exact"/>
              <w:jc w:val="right"/>
              <w:rPr>
                <w:rFonts w:ascii="仿宋_GB2312" w:hAnsi="宋体" w:cs="宋体"/>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2" w:type="dxa"/>
            <w:tcBorders>
              <w:top w:val="nil"/>
              <w:left w:val="single" w:color="auto" w:sz="4" w:space="0"/>
              <w:bottom w:val="single" w:color="auto" w:sz="4" w:space="0"/>
              <w:right w:val="single" w:color="auto" w:sz="4" w:space="0"/>
            </w:tcBorders>
          </w:tcPr>
          <w:p>
            <w:pPr>
              <w:widowControl/>
              <w:spacing w:line="400" w:lineRule="exact"/>
              <w:jc w:val="center"/>
              <w:rPr>
                <w:rFonts w:ascii="仿宋_GB2312" w:hAnsi="宋体" w:cs="宋体"/>
                <w:color w:val="000000"/>
                <w:kern w:val="0"/>
                <w:sz w:val="21"/>
                <w:szCs w:val="21"/>
              </w:rPr>
            </w:pPr>
            <w:r>
              <w:rPr>
                <w:rFonts w:hint="eastAsia" w:ascii="仿宋_GB2312" w:hAnsi="宋体" w:cs="宋体"/>
                <w:color w:val="000000"/>
                <w:kern w:val="0"/>
                <w:sz w:val="21"/>
                <w:szCs w:val="21"/>
              </w:rPr>
              <w:t>评分</w:t>
            </w:r>
          </w:p>
        </w:tc>
        <w:tc>
          <w:tcPr>
            <w:tcW w:w="1275" w:type="dxa"/>
            <w:tcBorders>
              <w:top w:val="nil"/>
              <w:left w:val="single" w:color="auto" w:sz="4" w:space="0"/>
              <w:bottom w:val="single" w:color="auto" w:sz="4" w:space="0"/>
              <w:right w:val="single" w:color="auto" w:sz="4" w:space="0"/>
            </w:tcBorders>
          </w:tcPr>
          <w:p>
            <w:pPr>
              <w:widowControl/>
              <w:spacing w:line="400" w:lineRule="exact"/>
              <w:jc w:val="center"/>
              <w:rPr>
                <w:rFonts w:ascii="仿宋_GB2312" w:hAnsi="宋体" w:cs="宋体"/>
                <w:color w:val="000000"/>
                <w:kern w:val="0"/>
                <w:sz w:val="21"/>
                <w:szCs w:val="21"/>
              </w:rPr>
            </w:pPr>
            <w:r>
              <w:rPr>
                <w:rFonts w:hint="eastAsia" w:ascii="仿宋_GB2312" w:hAnsi="宋体" w:cs="宋体"/>
                <w:color w:val="000000"/>
                <w:kern w:val="0"/>
                <w:sz w:val="21"/>
                <w:szCs w:val="21"/>
              </w:rPr>
              <w:t>0</w:t>
            </w:r>
          </w:p>
        </w:tc>
        <w:tc>
          <w:tcPr>
            <w:tcW w:w="1418" w:type="dxa"/>
            <w:tcBorders>
              <w:top w:val="nil"/>
              <w:left w:val="single" w:color="auto" w:sz="4" w:space="0"/>
              <w:bottom w:val="single" w:color="auto" w:sz="4" w:space="0"/>
              <w:right w:val="single" w:color="auto" w:sz="4" w:space="0"/>
            </w:tcBorders>
          </w:tcPr>
          <w:p>
            <w:pPr>
              <w:widowControl/>
              <w:spacing w:line="400" w:lineRule="exact"/>
              <w:jc w:val="center"/>
              <w:rPr>
                <w:rFonts w:ascii="仿宋_GB2312" w:hAnsi="宋体" w:cs="宋体"/>
                <w:color w:val="000000"/>
                <w:kern w:val="0"/>
                <w:sz w:val="21"/>
                <w:szCs w:val="21"/>
              </w:rPr>
            </w:pPr>
            <w:r>
              <w:rPr>
                <w:rFonts w:hint="eastAsia" w:ascii="仿宋_GB2312" w:hAnsi="宋体" w:cs="宋体"/>
                <w:color w:val="000000"/>
                <w:kern w:val="0"/>
                <w:sz w:val="21"/>
                <w:szCs w:val="21"/>
              </w:rPr>
              <w:t>1</w:t>
            </w:r>
          </w:p>
        </w:tc>
        <w:tc>
          <w:tcPr>
            <w:tcW w:w="1559" w:type="dxa"/>
            <w:tcBorders>
              <w:top w:val="nil"/>
              <w:left w:val="single" w:color="auto" w:sz="4" w:space="0"/>
              <w:bottom w:val="single" w:color="auto" w:sz="4" w:space="0"/>
              <w:right w:val="single" w:color="auto" w:sz="4" w:space="0"/>
            </w:tcBorders>
          </w:tcPr>
          <w:p>
            <w:pPr>
              <w:widowControl/>
              <w:spacing w:line="400" w:lineRule="exact"/>
              <w:jc w:val="center"/>
              <w:rPr>
                <w:rFonts w:ascii="仿宋_GB2312" w:hAnsi="宋体" w:cs="宋体"/>
                <w:color w:val="000000"/>
                <w:kern w:val="0"/>
                <w:sz w:val="21"/>
                <w:szCs w:val="21"/>
              </w:rPr>
            </w:pPr>
            <w:r>
              <w:rPr>
                <w:rFonts w:hint="eastAsia" w:ascii="仿宋_GB2312" w:hAnsi="宋体" w:cs="宋体"/>
                <w:color w:val="000000"/>
                <w:kern w:val="0"/>
                <w:sz w:val="21"/>
                <w:szCs w:val="21"/>
              </w:rPr>
              <w:t>5</w:t>
            </w:r>
          </w:p>
        </w:tc>
        <w:tc>
          <w:tcPr>
            <w:tcW w:w="1276" w:type="dxa"/>
            <w:tcBorders>
              <w:top w:val="nil"/>
              <w:left w:val="single" w:color="auto" w:sz="4" w:space="0"/>
              <w:bottom w:val="single" w:color="auto" w:sz="4" w:space="0"/>
              <w:right w:val="single" w:color="auto" w:sz="4" w:space="0"/>
            </w:tcBorders>
          </w:tcPr>
          <w:p>
            <w:pPr>
              <w:widowControl/>
              <w:spacing w:line="400" w:lineRule="exact"/>
              <w:jc w:val="center"/>
              <w:rPr>
                <w:rFonts w:ascii="仿宋_GB2312" w:hAnsi="宋体" w:cs="宋体"/>
                <w:color w:val="000000"/>
                <w:kern w:val="0"/>
                <w:sz w:val="21"/>
                <w:szCs w:val="21"/>
              </w:rPr>
            </w:pPr>
            <w:r>
              <w:rPr>
                <w:rFonts w:hint="eastAsia" w:ascii="仿宋_GB2312" w:hAnsi="宋体" w:cs="宋体"/>
                <w:color w:val="000000"/>
                <w:kern w:val="0"/>
                <w:sz w:val="21"/>
                <w:szCs w:val="21"/>
              </w:rPr>
              <w:t>10</w:t>
            </w:r>
          </w:p>
        </w:tc>
        <w:tc>
          <w:tcPr>
            <w:tcW w:w="731" w:type="dxa"/>
            <w:vMerge w:val="continue"/>
            <w:tcBorders>
              <w:left w:val="single" w:color="auto" w:sz="4" w:space="0"/>
              <w:right w:val="single" w:color="auto" w:sz="4" w:space="0"/>
            </w:tcBorders>
          </w:tcPr>
          <w:p>
            <w:pPr>
              <w:widowControl/>
              <w:spacing w:line="400" w:lineRule="exact"/>
              <w:jc w:val="right"/>
              <w:rPr>
                <w:rFonts w:ascii="仿宋_GB2312" w:hAnsi="宋体" w:cs="宋体"/>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30" w:type="dxa"/>
            <w:gridSpan w:val="5"/>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仿宋_GB2312" w:hAnsi="宋体" w:cs="宋体"/>
                <w:color w:val="000000"/>
                <w:kern w:val="0"/>
                <w:sz w:val="21"/>
                <w:szCs w:val="21"/>
              </w:rPr>
            </w:pPr>
            <w:r>
              <w:rPr>
                <w:rFonts w:hint="eastAsia" w:ascii="仿宋_GB2312" w:hAnsi="宋体" w:cs="宋体"/>
                <w:color w:val="000000"/>
                <w:kern w:val="0"/>
                <w:sz w:val="21"/>
                <w:szCs w:val="21"/>
              </w:rPr>
              <w:t>总得分</w:t>
            </w:r>
          </w:p>
        </w:tc>
        <w:tc>
          <w:tcPr>
            <w:tcW w:w="731" w:type="dxa"/>
            <w:tcBorders>
              <w:left w:val="single" w:color="auto" w:sz="4" w:space="0"/>
              <w:right w:val="single" w:color="auto" w:sz="4" w:space="0"/>
            </w:tcBorders>
          </w:tcPr>
          <w:p>
            <w:pPr>
              <w:widowControl/>
              <w:spacing w:line="400" w:lineRule="exact"/>
              <w:jc w:val="right"/>
              <w:rPr>
                <w:rFonts w:ascii="仿宋_GB2312" w:hAnsi="宋体" w:cs="宋体"/>
                <w:color w:val="000000"/>
                <w:kern w:val="0"/>
                <w:sz w:val="21"/>
                <w:szCs w:val="21"/>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Courier">
    <w:altName w:val="Courier New"/>
    <w:panose1 w:val="02070409020205020404"/>
    <w:charset w:val="00"/>
    <w:family w:val="modern"/>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517940"/>
    <w:rsid w:val="68517940"/>
    <w:rsid w:val="7A6379DC"/>
    <w:rsid w:val="7D560F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paragraph" w:styleId="2">
    <w:name w:val="heading 1"/>
    <w:basedOn w:val="1"/>
    <w:next w:val="1"/>
    <w:qFormat/>
    <w:uiPriority w:val="99"/>
    <w:pPr>
      <w:keepNext/>
      <w:keepLines/>
      <w:spacing w:before="340" w:after="330" w:line="576" w:lineRule="auto"/>
      <w:outlineLvl w:val="0"/>
    </w:pPr>
    <w:rPr>
      <w:rFonts w:eastAsia="宋体"/>
      <w:b/>
      <w:bCs/>
      <w:kern w:val="44"/>
      <w:sz w:val="44"/>
      <w:szCs w:val="44"/>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emf"/><Relationship Id="rId4" Type="http://schemas.openxmlformats.org/officeDocument/2006/relationships/oleObject" Target="embeddings/oleObject1.bin"/><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2021-11-15T03:45:00Z</dcterms:created>
  <dc:creator>欧阳离冰</dc:creator>
  <cp:lastModifiedBy>欧阳离冰</cp:lastModifiedBy>
  <dcterms:modified xsi:type="dcterms:W3CDTF">2021-11-15T03:48:40Z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B1543FBE7EE34435B98168679EC85D12</vt:lpwstr>
  </property>
</Properties>
</file>