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仿宋_GBK" w:hAnsi="方正仿宋_GBK" w:eastAsia="方正仿宋_GBK" w:cs="方正仿宋_GBK"/>
          <w:b/>
          <w:bCs/>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仿宋_GBK" w:hAnsi="方正仿宋_GBK" w:eastAsia="方正仿宋_GBK" w:cs="方正仿宋_GBK"/>
          <w:b/>
          <w:bCs/>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仿宋_GBK" w:hAnsi="方正仿宋_GBK" w:eastAsia="方正仿宋_GBK" w:cs="方正仿宋_GBK"/>
          <w:b/>
          <w:bCs/>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仿宋_GBK" w:hAnsi="方正仿宋_GBK" w:eastAsia="方正仿宋_GBK" w:cs="方正仿宋_GBK"/>
          <w:b/>
          <w:bCs/>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仿宋_GBK" w:hAnsi="方正仿宋_GBK" w:eastAsia="方正仿宋_GBK" w:cs="方正仿宋_GBK"/>
          <w:b/>
          <w:bCs/>
          <w:sz w:val="32"/>
          <w:szCs w:val="32"/>
          <w:lang w:eastAsia="zh-CN"/>
        </w:rPr>
      </w:pPr>
      <w:r>
        <w:rPr>
          <w:rFonts w:hint="eastAsia"/>
        </w:rPr>
        <w:pict>
          <v:shape id="_x0000_s1026" o:spid="_x0000_s1026" o:spt="136" type="#_x0000_t136" style="position:absolute;left:0pt;margin-left:88.4pt;margin-top:110.25pt;height:53.85pt;width:411pt;mso-position-horizontal-relative:page;mso-position-vertical-relative:margin;z-index:251659264;mso-width-relative:page;mso-height-relative:page;" fillcolor="#FF0000" filled="t" stroked="f" coordsize="21600,21600" adj="10800">
            <v:path/>
            <v:fill on="t" color2="#FFFFFF" focussize="0,0"/>
            <v:stroke on="f"/>
            <v:imagedata o:title=""/>
            <o:lock v:ext="edit" aspectratio="f"/>
            <v:textpath on="t" fitshape="t" fitpath="t" trim="t" xscale="f" string="重庆市大足区应急管理局" style="font-family:方正小标宋_GBK;font-size:36pt;v-rotate-letters:f;v-same-letter-heights:f;v-text-align:center;"/>
          </v:shape>
        </w:pic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仿宋_GBK" w:hAnsi="方正仿宋_GBK" w:eastAsia="方正仿宋_GBK" w:cs="方正仿宋_GBK"/>
          <w:b/>
          <w:bCs/>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仿宋_GBK" w:hAnsi="方正仿宋_GBK" w:eastAsia="方正仿宋_GBK" w:cs="方正仿宋_GBK"/>
          <w:b/>
          <w:bCs/>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仿宋_GBK" w:hAnsi="方正仿宋_GBK" w:eastAsia="方正仿宋_GBK" w:cs="方正仿宋_GBK"/>
          <w:b w:val="0"/>
          <w:bCs w:val="0"/>
          <w:sz w:val="32"/>
          <w:szCs w:val="32"/>
          <w:lang w:eastAsia="zh-CN"/>
        </w:rPr>
      </w:pPr>
      <w:bookmarkStart w:id="0" w:name="_GoBack"/>
      <w:r>
        <w:rPr>
          <w:rFonts w:hint="eastAsia" w:ascii="方正仿宋_GBK" w:hAnsi="方正仿宋_GBK" w:eastAsia="方正仿宋_GBK" w:cs="方正仿宋_GBK"/>
          <w:b w:val="0"/>
          <w:bCs w:val="0"/>
          <w:sz w:val="32"/>
          <w:szCs w:val="32"/>
          <w:lang w:eastAsia="zh-CN"/>
        </w:rPr>
        <w:t>大足应急〔2024〕8号</w:t>
      </w:r>
    </w:p>
    <w:bookmarkEnd w:id="0"/>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仿宋_GBK" w:hAnsi="方正仿宋_GBK" w:eastAsia="方正仿宋_GBK" w:cs="方正仿宋_GBK"/>
          <w:b/>
          <w:bCs/>
          <w:sz w:val="32"/>
          <w:szCs w:val="32"/>
          <w:lang w:eastAsia="zh-CN"/>
        </w:rPr>
      </w:pPr>
      <w:r>
        <w:rPr>
          <w:rFonts w:hint="eastAsia"/>
        </w:rPr>
        <mc:AlternateContent>
          <mc:Choice Requires="wps">
            <w:drawing>
              <wp:anchor distT="0" distB="0" distL="114300" distR="114300" simplePos="0" relativeHeight="251660288" behindDoc="0" locked="0" layoutInCell="1" allowOverlap="1">
                <wp:simplePos x="0" y="0"/>
                <wp:positionH relativeFrom="page">
                  <wp:posOffset>1019810</wp:posOffset>
                </wp:positionH>
                <wp:positionV relativeFrom="margin">
                  <wp:posOffset>3181350</wp:posOffset>
                </wp:positionV>
                <wp:extent cx="5615940" cy="0"/>
                <wp:effectExtent l="0" t="10795" r="3810" b="17780"/>
                <wp:wrapNone/>
                <wp:docPr id="2" name="直线 3"/>
                <wp:cNvGraphicFramePr/>
                <a:graphic xmlns:a="http://schemas.openxmlformats.org/drawingml/2006/main">
                  <a:graphicData uri="http://schemas.microsoft.com/office/word/2010/wordprocessingShape">
                    <wps:wsp>
                      <wps:cNvCnPr/>
                      <wps:spPr>
                        <a:xfrm>
                          <a:off x="0" y="0"/>
                          <a:ext cx="5615940" cy="0"/>
                        </a:xfrm>
                        <a:prstGeom prst="line">
                          <a:avLst/>
                        </a:prstGeom>
                        <a:ln w="22225" cap="flat" cmpd="sng">
                          <a:solidFill>
                            <a:srgbClr val="FF0000"/>
                          </a:solidFill>
                          <a:prstDash val="solid"/>
                          <a:headEnd type="none" w="med" len="med"/>
                          <a:tailEnd type="none" w="med" len="med"/>
                        </a:ln>
                      </wps:spPr>
                      <wps:bodyPr upright="1"/>
                    </wps:wsp>
                  </a:graphicData>
                </a:graphic>
              </wp:anchor>
            </w:drawing>
          </mc:Choice>
          <mc:Fallback>
            <w:pict>
              <v:line id="直线 3" o:spid="_x0000_s1026" o:spt="20" style="position:absolute;left:0pt;margin-left:80.3pt;margin-top:250.5pt;height:0pt;width:442.2pt;mso-position-horizontal-relative:page;mso-position-vertical-relative:margin;z-index:251660288;mso-width-relative:page;mso-height-relative:page;" filled="f" stroked="t" coordsize="21600,21600" o:gfxdata="UEsDBAoAAAAAAIdO4kAAAAAAAAAAAAAAAAAEAAAAZHJzL1BLAwQUAAAACACHTuJAhrFu6NcAAAAM&#10;AQAADwAAAGRycy9kb3ducmV2LnhtbE2P3UrEMBCF7wXfIYzgnZtU3Cq16V4ICv4tdPUB0mZsyyaT&#10;2mS7q0/vLAh6N2fmcOY75ergnZhxikMgDdlCgUBqgx2o0/D+dn9xAyImQ9a4QKjhCyOsqtOT0hQ2&#10;7KnGeZM6wSEUC6OhT2kspIxtj97ERRiR+PYRJm8Sy6mTdjJ7DvdOXiqVS28G4g+9GfGux3a72XlO&#10;ma+3L8+v3/Xn0xAe64d83XQOtT4/y9QtiISH9GeGIz6jQ8VMTdiRjcKxzlXOVg1LlXGpo0NdLXlq&#10;fleyKuX/EtUPUEsDBBQAAAAIAIdO4kCB7ljb6QEAANwDAAAOAAAAZHJzL2Uyb0RvYy54bWytU0uO&#10;EzEQ3SNxB8t70kmGjKCVziwmhA2CSMABKv50W/JPLiednIVrsGLDceYalLszGRg2WUwv3GVX+VW9&#10;V+Xl3dFZdlAJTfANn02mnCkvgjS+bfj3b5s37zjDDF6CDV41/KSQ361ev1r2sVbz0AUrVWIE4rHu&#10;Y8O7nGNdVSg65QAnISpPTh2Sg0zb1FYyQU/ozlbz6fS26kOSMQWhEOl0PTr5GTFdAxi0NkKtg9g7&#10;5fOImpSFTJSwMxH5aqhWayXyF61RZWYbTkzzsFISsndlrVZLqNsEsTPiXAJcU8IzTg6Mp6QXqDVk&#10;YPtk/oNyRqSAQeeJCK4aiQyKEIvZ9Jk2XzuIauBCUmO8iI4vBys+H7aJGdnwOWceHDX84cfPh1+/&#10;2U3Rpo9YU8i936bzDuM2FaJHnVz5EwV2HPQ8XfRUx8wEHS5uZ4v3b0lq8eirni7GhPmjCo4Vo+HW&#10;+EIVajh8wkzJKPQxpBxbz3oqkr4F4QENnqaGk+kiFY++HS5jsEZujLXlCqZ2d28TOwA1f7OZ0lc4&#10;EfA/YSXLGrAb4wbXOBadAvnBS5ZPkWTx9Bp4qcEpyZlV9HiKRYBQZzD2mkhKbT1VUGQdhSzWLsgT&#10;NWEfk2k7kmI2VFk81PSh3vOAlqn6ez8gPT3K1R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GsW7o&#10;1wAAAAwBAAAPAAAAAAAAAAEAIAAAACIAAABkcnMvZG93bnJldi54bWxQSwECFAAUAAAACACHTuJA&#10;ge5Y2+kBAADcAwAADgAAAAAAAAABACAAAAAmAQAAZHJzL2Uyb0RvYy54bWxQSwUGAAAAAAYABgBZ&#10;AQAAgQUAAAAA&#10;">
                <v:fill on="f" focussize="0,0"/>
                <v:stroke weight="1.75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仿宋_GBK" w:hAnsi="方正仿宋_GBK" w:eastAsia="方正仿宋_GBK" w:cs="方正仿宋_GBK"/>
          <w:b/>
          <w:bCs/>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 w:val="0"/>
          <w:bCs w:val="0"/>
          <w:sz w:val="44"/>
          <w:szCs w:val="44"/>
          <w:lang w:eastAsia="zh-CN"/>
        </w:rPr>
      </w:pPr>
      <w:r>
        <w:rPr>
          <w:rFonts w:hint="eastAsia" w:ascii="方正小标宋_GBK" w:hAnsi="方正小标宋_GBK" w:eastAsia="方正小标宋_GBK" w:cs="方正小标宋_GBK"/>
          <w:b w:val="0"/>
          <w:bCs w:val="0"/>
          <w:sz w:val="44"/>
          <w:szCs w:val="44"/>
          <w:lang w:eastAsia="zh-CN"/>
        </w:rPr>
        <w:t>重庆市大足区应急管理局</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 w:val="0"/>
          <w:bCs w:val="0"/>
          <w:sz w:val="44"/>
          <w:szCs w:val="44"/>
          <w:lang w:eastAsia="zh-CN"/>
        </w:rPr>
      </w:pPr>
      <w:r>
        <w:rPr>
          <w:rFonts w:hint="eastAsia" w:ascii="方正小标宋_GBK" w:hAnsi="方正小标宋_GBK" w:eastAsia="方正小标宋_GBK" w:cs="方正小标宋_GBK"/>
          <w:b w:val="0"/>
          <w:bCs w:val="0"/>
          <w:sz w:val="44"/>
          <w:szCs w:val="44"/>
          <w:lang w:eastAsia="zh-CN"/>
        </w:rPr>
        <w:t>关于非煤矿山企业安全风险等级评定结果的</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 w:val="0"/>
          <w:bCs w:val="0"/>
          <w:sz w:val="44"/>
          <w:szCs w:val="44"/>
          <w:lang w:eastAsia="zh-CN"/>
        </w:rPr>
      </w:pPr>
      <w:r>
        <w:rPr>
          <w:rFonts w:hint="eastAsia" w:ascii="方正小标宋_GBK" w:hAnsi="方正小标宋_GBK" w:eastAsia="方正小标宋_GBK" w:cs="方正小标宋_GBK"/>
          <w:b w:val="0"/>
          <w:bCs w:val="0"/>
          <w:sz w:val="44"/>
          <w:szCs w:val="44"/>
          <w:lang w:eastAsia="zh-CN"/>
        </w:rPr>
        <w:t>通知</w:t>
      </w: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涉矿镇（街），非煤矿山企业：</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04"/>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eastAsia="zh-CN"/>
        </w:rPr>
        <w:t>依据国家矿山安全监察局《关于印发非煤矿山安全风险分级监管办法的通知》（矿安〔</w:t>
      </w:r>
      <w:r>
        <w:rPr>
          <w:rFonts w:hint="eastAsia" w:ascii="方正仿宋_GBK" w:hAnsi="方正仿宋_GBK" w:eastAsia="方正仿宋_GBK" w:cs="方正仿宋_GBK"/>
          <w:sz w:val="32"/>
          <w:szCs w:val="32"/>
          <w:lang w:val="en-US" w:eastAsia="zh-CN"/>
        </w:rPr>
        <w:t>2023〕1号）文件精神，我局汇同涉矿镇政府，聘请重庆市专家库专家对辖区非煤矿山企业进行了安全风险分级评定，评定结果是：</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04"/>
        <w:textAlignment w:val="auto"/>
        <w:rPr>
          <w:rFonts w:hint="eastAsia"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sz w:val="32"/>
          <w:szCs w:val="32"/>
          <w:vertAlign w:val="baseline"/>
          <w:lang w:val="en-US" w:eastAsia="zh-CN"/>
        </w:rPr>
        <w:t>重庆市大足区人和建材有限公司安全风险等级B级</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04"/>
        <w:textAlignment w:val="auto"/>
        <w:rPr>
          <w:rFonts w:hint="eastAsia"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sz w:val="32"/>
          <w:szCs w:val="32"/>
          <w:vertAlign w:val="baseline"/>
          <w:lang w:val="en-US" w:eastAsia="zh-CN"/>
        </w:rPr>
        <w:t>中俊矿业（重庆）有限公司安全风险等级B级</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04"/>
        <w:textAlignment w:val="auto"/>
        <w:rPr>
          <w:rFonts w:hint="eastAsia"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sz w:val="32"/>
          <w:szCs w:val="32"/>
          <w:vertAlign w:val="baseline"/>
          <w:lang w:val="en-US" w:eastAsia="zh-CN"/>
        </w:rPr>
        <w:t>重庆市大足天青石矿业有限公司安全风险等级C级</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04"/>
        <w:textAlignment w:val="auto"/>
        <w:rPr>
          <w:rFonts w:hint="eastAsia"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sz w:val="32"/>
          <w:szCs w:val="32"/>
          <w:vertAlign w:val="baseline"/>
          <w:lang w:val="en-US" w:eastAsia="zh-CN"/>
        </w:rPr>
        <w:t>重庆市大足锶矿开发有限公司安全风险等级C级</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04"/>
        <w:textAlignment w:val="auto"/>
        <w:rPr>
          <w:rFonts w:hint="eastAsia"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sz w:val="32"/>
          <w:szCs w:val="32"/>
          <w:vertAlign w:val="baseline"/>
          <w:lang w:val="en-US" w:eastAsia="zh-CN"/>
        </w:rPr>
        <w:t>重庆超美建材有限公司安全风险等级C级</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04"/>
        <w:textAlignment w:val="auto"/>
        <w:rPr>
          <w:rFonts w:hint="eastAsia" w:ascii="方正仿宋_GBK" w:hAnsi="方正仿宋_GBK" w:eastAsia="方正仿宋_GBK" w:cs="方正仿宋_GBK"/>
          <w:kern w:val="2"/>
          <w:sz w:val="32"/>
          <w:szCs w:val="32"/>
          <w:lang w:val="en-US" w:eastAsia="zh-CN" w:bidi="ar"/>
        </w:rPr>
      </w:pPr>
      <w:r>
        <w:rPr>
          <w:rFonts w:hint="eastAsia" w:ascii="方正仿宋_GBK" w:hAnsi="方正仿宋_GBK" w:eastAsia="方正仿宋_GBK" w:cs="方正仿宋_GBK"/>
          <w:kern w:val="2"/>
          <w:sz w:val="32"/>
          <w:szCs w:val="32"/>
          <w:lang w:val="en-US" w:eastAsia="zh-CN" w:bidi="ar"/>
        </w:rPr>
        <w:t>重庆都龙建材加有限公司</w:t>
      </w:r>
      <w:r>
        <w:rPr>
          <w:rFonts w:hint="eastAsia" w:ascii="方正仿宋_GBK" w:hAnsi="方正仿宋_GBK" w:eastAsia="方正仿宋_GBK" w:cs="方正仿宋_GBK"/>
          <w:sz w:val="32"/>
          <w:szCs w:val="32"/>
          <w:vertAlign w:val="baseline"/>
          <w:lang w:val="en-US" w:eastAsia="zh-CN"/>
        </w:rPr>
        <w:t>安全风险等级C级</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04"/>
        <w:textAlignment w:val="auto"/>
        <w:rPr>
          <w:rFonts w:hint="eastAsia"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sz w:val="32"/>
          <w:szCs w:val="32"/>
          <w:vertAlign w:val="baseline"/>
          <w:lang w:val="en-US" w:eastAsia="zh-CN"/>
        </w:rPr>
        <w:t>重庆市亿军建材有限公司安全风险等级C级</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04"/>
        <w:textAlignment w:val="auto"/>
        <w:rPr>
          <w:rFonts w:hint="eastAsia"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sz w:val="32"/>
          <w:szCs w:val="32"/>
          <w:vertAlign w:val="baseline"/>
          <w:lang w:val="en-US" w:eastAsia="zh-CN"/>
        </w:rPr>
        <w:t>重庆祥雲泰丰实业有限公司安全风险等级C级</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04"/>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特此通知！</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04"/>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04"/>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04"/>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04"/>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重庆市大足区应急管理局</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04"/>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2024年1月8日</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textAlignment w:val="auto"/>
        <w:rPr>
          <w:rFonts w:hint="eastAsia" w:ascii="方正仿宋_GBK" w:hAnsi="方正仿宋_GBK" w:eastAsia="方正仿宋_GBK" w:cs="方正仿宋_GBK"/>
          <w:sz w:val="32"/>
          <w:szCs w:val="32"/>
          <w:lang w:val="en-US" w:eastAsia="zh-CN"/>
        </w:rPr>
      </w:pP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92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242" w:type="dxa"/>
            <w:tcBorders>
              <w:left w:val="nil"/>
              <w:right w:val="nil"/>
            </w:tcBorders>
          </w:tcPr>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280" w:firstLineChars="100"/>
              <w:textAlignment w:val="auto"/>
              <w:rPr>
                <w:rFonts w:hint="default"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sz w:val="28"/>
                <w:szCs w:val="28"/>
                <w:vertAlign w:val="baseline"/>
                <w:lang w:val="en-US" w:eastAsia="zh-CN"/>
              </w:rPr>
              <w:t>重庆市大足区应急管理局办公室             2024年1月8日印发</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0" w:lineRule="exact"/>
        <w:textAlignment w:val="auto"/>
        <w:rPr>
          <w:rFonts w:hint="eastAsia" w:ascii="方正仿宋_GBK" w:hAnsi="方正仿宋_GBK" w:eastAsia="方正仿宋_GBK" w:cs="方正仿宋_GBK"/>
          <w:sz w:val="32"/>
          <w:szCs w:val="32"/>
          <w:lang w:val="en-US" w:eastAsia="zh-CN"/>
        </w:rPr>
      </w:pPr>
    </w:p>
    <w:sectPr>
      <w:pgSz w:w="11906" w:h="16838"/>
      <w:pgMar w:top="1803" w:right="1440" w:bottom="1803"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西文正文">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FlMDdlNzA3NDI4YTcxNGQxMjg5ODA2MjA3ZDA2YjgifQ=="/>
  </w:docVars>
  <w:rsids>
    <w:rsidRoot w:val="252131C5"/>
    <w:rsid w:val="125E784D"/>
    <w:rsid w:val="147D728E"/>
    <w:rsid w:val="252131C5"/>
    <w:rsid w:val="2FFB18AE"/>
    <w:rsid w:val="35CE0297"/>
    <w:rsid w:val="3C6417F2"/>
    <w:rsid w:val="67543077"/>
    <w:rsid w:val="77CA69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2023-12-18T08:01:00Z</dcterms:created>
  <dc:creator>Administrator</dc:creator>
  <cp:lastModifiedBy>周佳</cp:lastModifiedBy>
  <cp:lastPrinted>2024-01-04T07:56:00Z</cp:lastPrinted>
  <dcterms:modified xsi:type="dcterms:W3CDTF">2024-01-08T08:25:31Z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828C9DE3F40F49ADA6AF0D68664F6811_11</vt:lpwstr>
  </property>
</Properties>
</file>