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bidi w:val="0"/>
        <w:spacing w:line="580" w:lineRule="exact"/>
        <w:jc w:val="center"/>
        <w:textAlignment w:val="auto"/>
        <w:rPr>
          <w:rFonts w:hint="eastAsia" w:ascii="方正小标宋_GBK" w:eastAsia="方正小标宋_GBK"/>
          <w:sz w:val="44"/>
          <w:szCs w:val="44"/>
        </w:rPr>
      </w:pPr>
    </w:p>
    <w:p>
      <w:pPr>
        <w:keepNext w:val="0"/>
        <w:keepLines w:val="0"/>
        <w:pageBreakBefore w:val="0"/>
        <w:kinsoku/>
        <w:wordWrap/>
        <w:overflowPunct/>
        <w:topLinePunct w:val="0"/>
        <w:bidi w:val="0"/>
        <w:spacing w:line="580" w:lineRule="exact"/>
        <w:jc w:val="center"/>
        <w:textAlignment w:val="auto"/>
        <w:rPr>
          <w:rFonts w:hint="eastAsia" w:ascii="方正小标宋_GBK" w:eastAsia="方正小标宋_GBK"/>
          <w:sz w:val="44"/>
          <w:szCs w:val="44"/>
          <w:lang w:eastAsia="zh-CN"/>
        </w:rPr>
      </w:pPr>
      <w:r>
        <w:rPr>
          <w:rFonts w:hint="eastAsia" w:ascii="方正小标宋_GBK" w:eastAsia="方正小标宋_GBK"/>
          <w:sz w:val="44"/>
          <w:szCs w:val="44"/>
        </w:rPr>
        <w:t>重庆市大足区</w:t>
      </w:r>
      <w:r>
        <w:rPr>
          <w:rFonts w:hint="eastAsia" w:ascii="方正小标宋_GBK" w:eastAsia="方正小标宋_GBK"/>
          <w:sz w:val="44"/>
          <w:szCs w:val="44"/>
          <w:lang w:eastAsia="zh-CN"/>
        </w:rPr>
        <w:t>应急管理局</w:t>
      </w:r>
    </w:p>
    <w:p>
      <w:pPr>
        <w:keepNext w:val="0"/>
        <w:keepLines w:val="0"/>
        <w:pageBreakBefore w:val="0"/>
        <w:kinsoku/>
        <w:wordWrap/>
        <w:overflowPunct/>
        <w:topLinePunct w:val="0"/>
        <w:bidi w:val="0"/>
        <w:spacing w:line="580" w:lineRule="exact"/>
        <w:jc w:val="center"/>
        <w:textAlignment w:val="auto"/>
        <w:rPr>
          <w:rFonts w:ascii="方正小标宋_GBK" w:eastAsia="方正小标宋_GBK"/>
          <w:sz w:val="44"/>
          <w:szCs w:val="44"/>
        </w:rPr>
      </w:pPr>
      <w:r>
        <w:rPr>
          <w:rFonts w:hint="eastAsia" w:ascii="方正小标宋_GBK" w:eastAsia="方正小标宋_GBK"/>
          <w:sz w:val="44"/>
          <w:szCs w:val="44"/>
        </w:rPr>
        <w:t>2021年法治政府建设情况报告</w:t>
      </w:r>
    </w:p>
    <w:p>
      <w:pPr>
        <w:keepNext w:val="0"/>
        <w:keepLines w:val="0"/>
        <w:pageBreakBefore w:val="0"/>
        <w:kinsoku/>
        <w:wordWrap/>
        <w:overflowPunct/>
        <w:topLinePunct w:val="0"/>
        <w:bidi w:val="0"/>
        <w:spacing w:line="580" w:lineRule="exact"/>
        <w:textAlignment w:val="auto"/>
        <w:rPr>
          <w:rFonts w:hint="eastAsia" w:ascii="Times New Roman" w:hAnsi="Times New Roman" w:cs="Times New Roman"/>
          <w:szCs w:val="32"/>
          <w:lang w:eastAsia="zh-CN"/>
        </w:rPr>
      </w:pPr>
    </w:p>
    <w:p>
      <w:pPr>
        <w:keepNext w:val="0"/>
        <w:keepLines w:val="0"/>
        <w:pageBreakBefore w:val="0"/>
        <w:kinsoku/>
        <w:wordWrap/>
        <w:overflowPunct/>
        <w:topLinePunct w:val="0"/>
        <w:bidi w:val="0"/>
        <w:spacing w:line="580" w:lineRule="exact"/>
        <w:ind w:firstLine="640" w:firstLineChars="200"/>
        <w:textAlignment w:val="auto"/>
        <w:rPr>
          <w:rFonts w:ascii="方正黑体_GBK" w:hAnsi="Times New Roman" w:eastAsia="方正黑体_GBK" w:cs="Times New Roman"/>
          <w:szCs w:val="32"/>
        </w:rPr>
      </w:pPr>
      <w:r>
        <w:rPr>
          <w:rFonts w:ascii="Times New Roman" w:hAnsi="Times New Roman" w:cs="Times New Roman"/>
          <w:szCs w:val="32"/>
        </w:rPr>
        <w:t>根据</w:t>
      </w:r>
      <w:r>
        <w:rPr>
          <w:rFonts w:hint="eastAsia" w:ascii="Times New Roman" w:hAnsi="Times New Roman" w:cs="Times New Roman"/>
          <w:szCs w:val="32"/>
        </w:rPr>
        <w:t>《法治政府建设与责任落实督察工作规定》和大足区政府办公室《关于印发大足区2021年法治政府建设工作要点的通知》（大足府办</w:t>
      </w:r>
      <w:r>
        <w:rPr>
          <w:rFonts w:hint="eastAsia" w:ascii="Times New Roman" w:hAnsi="Times New Roman" w:cs="Times New Roman"/>
          <w:szCs w:val="32"/>
          <w:lang w:eastAsia="zh-CN"/>
        </w:rPr>
        <w:t>发</w:t>
      </w:r>
      <w:r>
        <w:rPr>
          <w:rFonts w:ascii="Times New Roman" w:hAnsi="Times New Roman" w:cs="Times New Roman"/>
          <w:szCs w:val="32"/>
        </w:rPr>
        <w:t>〔202</w:t>
      </w:r>
      <w:r>
        <w:rPr>
          <w:rFonts w:hint="eastAsia" w:ascii="Times New Roman" w:hAnsi="Times New Roman" w:cs="Times New Roman"/>
          <w:szCs w:val="32"/>
        </w:rPr>
        <w:t>1</w:t>
      </w:r>
      <w:r>
        <w:rPr>
          <w:rFonts w:ascii="Times New Roman" w:hAnsi="Times New Roman" w:cs="Times New Roman"/>
          <w:szCs w:val="32"/>
        </w:rPr>
        <w:t>〕</w:t>
      </w:r>
      <w:r>
        <w:rPr>
          <w:rFonts w:hint="eastAsia" w:ascii="Times New Roman" w:hAnsi="Times New Roman" w:cs="Times New Roman"/>
          <w:szCs w:val="32"/>
        </w:rPr>
        <w:t>69号）文件要求，结合单位实际，</w:t>
      </w:r>
      <w:r>
        <w:rPr>
          <w:rFonts w:ascii="Times New Roman" w:hAnsi="Times New Roman" w:cs="Times New Roman"/>
          <w:szCs w:val="32"/>
        </w:rPr>
        <w:t>现将</w:t>
      </w:r>
      <w:r>
        <w:rPr>
          <w:rFonts w:hint="eastAsia" w:ascii="Times New Roman" w:hAnsi="Times New Roman" w:cs="Times New Roman"/>
          <w:szCs w:val="32"/>
        </w:rPr>
        <w:t>2021年法治政府建设情况报告如下：</w:t>
      </w:r>
    </w:p>
    <w:p>
      <w:pPr>
        <w:keepNext w:val="0"/>
        <w:keepLines w:val="0"/>
        <w:pageBreakBefore w:val="0"/>
        <w:kinsoku/>
        <w:wordWrap/>
        <w:overflowPunct/>
        <w:topLinePunct w:val="0"/>
        <w:bidi w:val="0"/>
        <w:spacing w:line="580" w:lineRule="exact"/>
        <w:ind w:firstLine="640" w:firstLineChars="200"/>
        <w:textAlignment w:val="auto"/>
        <w:rPr>
          <w:rFonts w:ascii="方正黑体_GBK" w:hAnsi="Times New Roman" w:eastAsia="方正黑体_GBK" w:cs="Times New Roman"/>
          <w:szCs w:val="32"/>
        </w:rPr>
      </w:pPr>
      <w:r>
        <w:rPr>
          <w:rFonts w:hint="eastAsia" w:ascii="方正黑体_GBK" w:hAnsi="Times New Roman" w:eastAsia="方正黑体_GBK" w:cs="Times New Roman"/>
          <w:szCs w:val="32"/>
        </w:rPr>
        <w:t>一、推进法治政府建设的主要举措及成效</w:t>
      </w:r>
    </w:p>
    <w:p>
      <w:pPr>
        <w:keepNext w:val="0"/>
        <w:keepLines w:val="0"/>
        <w:pageBreakBefore w:val="0"/>
        <w:kinsoku/>
        <w:wordWrap/>
        <w:overflowPunct/>
        <w:topLinePunct w:val="0"/>
        <w:bidi w:val="0"/>
        <w:spacing w:line="580" w:lineRule="exact"/>
        <w:ind w:firstLine="640" w:firstLineChars="200"/>
        <w:textAlignment w:val="auto"/>
        <w:rPr>
          <w:rFonts w:hint="eastAsia" w:ascii="方正楷体_GBK" w:hAnsi="方正楷体_GBK" w:eastAsia="方正楷体_GBK" w:cs="方正楷体_GBK"/>
          <w:szCs w:val="32"/>
          <w:lang w:eastAsia="zh-CN"/>
        </w:rPr>
      </w:pPr>
      <w:r>
        <w:rPr>
          <w:rFonts w:hint="eastAsia" w:ascii="方正楷体_GBK" w:hAnsi="方正楷体_GBK" w:eastAsia="方正楷体_GBK" w:cs="方正楷体_GBK"/>
          <w:szCs w:val="32"/>
          <w:lang w:eastAsia="zh-CN"/>
        </w:rPr>
        <w:t>（一）深学笃用习近平法治思想</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eastAsia" w:ascii="方正仿宋_GBK" w:hAnsi="方正仿宋_GBK" w:cs="方正仿宋_GBK"/>
          <w:sz w:val="32"/>
          <w:szCs w:val="32"/>
          <w:lang w:val="en-US" w:eastAsia="zh-CN"/>
        </w:rPr>
      </w:pPr>
      <w:r>
        <w:rPr>
          <w:rFonts w:hint="eastAsia" w:ascii="方正仿宋_GBK" w:hAnsi="方正仿宋_GBK" w:cs="方正仿宋_GBK"/>
          <w:sz w:val="32"/>
          <w:szCs w:val="32"/>
          <w:lang w:val="en-US" w:eastAsia="zh-CN"/>
        </w:rPr>
        <w:t>我局始终</w:t>
      </w:r>
      <w:r>
        <w:rPr>
          <w:rFonts w:hint="eastAsia" w:ascii="方正仿宋_GBK" w:hAnsi="方正仿宋_GBK" w:eastAsia="方正仿宋_GBK" w:cs="方正仿宋_GBK"/>
          <w:sz w:val="32"/>
          <w:szCs w:val="32"/>
          <w:lang w:val="en-US" w:eastAsia="zh-CN"/>
        </w:rPr>
        <w:t>坚持以习近平新时代中国特色社会主义思想为指导，深入学习贯彻习近平法治思想，传达学习</w:t>
      </w:r>
      <w:r>
        <w:rPr>
          <w:rFonts w:hint="eastAsia" w:ascii="方正仿宋_GBK" w:hAnsi="方正仿宋_GBK" w:cs="方正仿宋_GBK"/>
          <w:sz w:val="32"/>
          <w:szCs w:val="32"/>
          <w:lang w:val="en-US" w:eastAsia="zh-CN"/>
        </w:rPr>
        <w:t>了</w:t>
      </w:r>
      <w:r>
        <w:rPr>
          <w:rFonts w:hint="eastAsia" w:ascii="方正仿宋_GBK" w:hAnsi="方正仿宋_GBK" w:eastAsia="方正仿宋_GBK" w:cs="方正仿宋_GBK"/>
          <w:sz w:val="32"/>
          <w:szCs w:val="32"/>
          <w:lang w:val="en-US" w:eastAsia="zh-CN"/>
        </w:rPr>
        <w:t>中央全面依法治国工作会议、市委依法治市工作会议、区委二届十次全会和区委依法治区工作会议精神，印发</w:t>
      </w:r>
      <w:r>
        <w:rPr>
          <w:rFonts w:hint="eastAsia" w:ascii="方正仿宋_GBK" w:hAnsi="方正仿宋_GBK" w:cs="方正仿宋_GBK"/>
          <w:sz w:val="32"/>
          <w:szCs w:val="32"/>
          <w:lang w:val="en-US" w:eastAsia="zh-CN"/>
        </w:rPr>
        <w:t>了</w:t>
      </w:r>
      <w:r>
        <w:rPr>
          <w:rFonts w:hint="eastAsia" w:ascii="方正仿宋_GBK" w:hAnsi="方正仿宋_GBK" w:eastAsia="方正仿宋_GBK" w:cs="方正仿宋_GBK"/>
          <w:sz w:val="32"/>
          <w:szCs w:val="32"/>
          <w:lang w:val="en-US" w:eastAsia="zh-CN"/>
        </w:rPr>
        <w:t>《2021年度党委理论学习中心组学习计划》（</w:t>
      </w:r>
      <w:r>
        <w:rPr>
          <w:rFonts w:hint="eastAsia" w:ascii="方正仿宋_GBK" w:hAnsi="方正仿宋_GBK" w:eastAsia="方正仿宋_GBK" w:cs="方正仿宋_GBK"/>
          <w:spacing w:val="-6"/>
          <w:sz w:val="32"/>
          <w:szCs w:val="32"/>
        </w:rPr>
        <w:t>大足应急党委〔2021〕15号</w:t>
      </w:r>
      <w:r>
        <w:rPr>
          <w:rFonts w:hint="eastAsia" w:ascii="方正仿宋_GBK" w:hAnsi="方正仿宋_GBK" w:cs="方正仿宋_GBK"/>
          <w:sz w:val="32"/>
          <w:szCs w:val="32"/>
          <w:lang w:val="en-US" w:eastAsia="zh-CN"/>
        </w:rPr>
        <w:t>），将习近平法治思想作为理论学习的重要内容。</w:t>
      </w:r>
      <w:r>
        <w:rPr>
          <w:rFonts w:hint="eastAsia" w:ascii="方正仿宋_GBK" w:hAnsi="方正仿宋_GBK" w:eastAsia="方正仿宋_GBK" w:cs="方正仿宋_GBK"/>
          <w:sz w:val="32"/>
          <w:szCs w:val="32"/>
          <w:lang w:val="en-US" w:eastAsia="zh-CN"/>
        </w:rPr>
        <w:t>今年以来，</w:t>
      </w:r>
      <w:r>
        <w:rPr>
          <w:rFonts w:hint="eastAsia" w:ascii="方正仿宋_GBK" w:hAnsi="方正仿宋_GBK" w:cs="方正仿宋_GBK"/>
          <w:sz w:val="32"/>
          <w:szCs w:val="32"/>
          <w:lang w:val="en-US" w:eastAsia="zh-CN"/>
        </w:rPr>
        <w:t>局党委理论学习中心组</w:t>
      </w:r>
      <w:r>
        <w:rPr>
          <w:rFonts w:hint="eastAsia" w:ascii="方正仿宋_GBK" w:hAnsi="方正仿宋_GBK" w:eastAsia="方正仿宋_GBK" w:cs="方正仿宋_GBK"/>
          <w:sz w:val="32"/>
          <w:szCs w:val="32"/>
          <w:lang w:val="en-US" w:eastAsia="zh-CN"/>
        </w:rPr>
        <w:t>组织集中学习4次</w:t>
      </w:r>
      <w:r>
        <w:rPr>
          <w:rFonts w:hint="eastAsia" w:ascii="方正仿宋_GBK" w:hAnsi="方正仿宋_GBK" w:cs="方正仿宋_GBK"/>
          <w:sz w:val="32"/>
          <w:szCs w:val="32"/>
          <w:lang w:val="en-US" w:eastAsia="zh-CN"/>
        </w:rPr>
        <w:t>，职</w:t>
      </w:r>
      <w:bookmarkStart w:id="0" w:name="_GoBack"/>
      <w:bookmarkEnd w:id="0"/>
      <w:r>
        <w:rPr>
          <w:rFonts w:hint="eastAsia" w:ascii="方正仿宋_GBK" w:hAnsi="方正仿宋_GBK" w:cs="方正仿宋_GBK"/>
          <w:sz w:val="32"/>
          <w:szCs w:val="32"/>
          <w:lang w:val="en-US" w:eastAsia="zh-CN"/>
        </w:rPr>
        <w:t>工大会组织学习4次，党支部学习会组织学习4次，举行专题培训学习2次</w:t>
      </w:r>
      <w:r>
        <w:rPr>
          <w:rFonts w:hint="eastAsia" w:ascii="方正仿宋_GBK" w:hAnsi="方正仿宋_GBK" w:eastAsia="方正仿宋_GBK" w:cs="方正仿宋_GBK"/>
          <w:sz w:val="32"/>
          <w:szCs w:val="32"/>
          <w:lang w:val="en-US" w:eastAsia="zh-CN"/>
        </w:rPr>
        <w:t>。</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Autospacing="0" w:line="580" w:lineRule="exact"/>
        <w:ind w:leftChars="200" w:right="0" w:rightChars="0"/>
        <w:jc w:val="both"/>
        <w:textAlignment w:val="auto"/>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（二）深入推进严格规范公正文明执法</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line="580" w:lineRule="exact"/>
        <w:ind w:firstLine="640" w:firstLineChars="200"/>
        <w:jc w:val="both"/>
        <w:textAlignment w:val="auto"/>
        <w:outlineLvl w:val="9"/>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eastAsia="zh-CN"/>
        </w:rPr>
        <w:t>一是不断强化制度建设。制定《行政执法工作制度》</w:t>
      </w:r>
      <w:r>
        <w:rPr>
          <w:rFonts w:hint="eastAsia" w:ascii="方正仿宋_GBK" w:hAnsi="方正仿宋_GBK" w:eastAsia="方正仿宋_GBK" w:cs="方正仿宋_GBK"/>
          <w:sz w:val="32"/>
          <w:szCs w:val="32"/>
          <w:lang w:val="en-US" w:eastAsia="zh-CN"/>
        </w:rPr>
        <w:t>《行政执法辅助人员管理制度》《行政执法情况通报制度》等8项工作制度，把法治建设纳入本单位发展总体规划和年度工作计划，推进严格规范公正文明执法。印发了《重大行政决策事项目录标准》（大足应急〔2021〕140号）并在局官网公布，规范重大行政决策程序，提高决策质量和效率。</w:t>
      </w:r>
      <w:r>
        <w:rPr>
          <w:rFonts w:hint="eastAsia" w:ascii="方正仿宋_GBK" w:hAnsi="方正仿宋_GBK" w:eastAsia="方正仿宋_GBK" w:cs="方正仿宋_GBK"/>
          <w:color w:val="auto"/>
          <w:sz w:val="32"/>
          <w:szCs w:val="32"/>
          <w:lang w:val="en-US" w:eastAsia="zh-CN"/>
        </w:rPr>
        <w:t>二是</w:t>
      </w:r>
      <w:r>
        <w:rPr>
          <w:rFonts w:hint="eastAsia" w:ascii="方正仿宋_GBK" w:hAnsi="方正仿宋_GBK" w:eastAsia="方正仿宋_GBK" w:cs="方正仿宋_GBK"/>
          <w:sz w:val="32"/>
          <w:szCs w:val="32"/>
          <w:lang w:val="en-US" w:eastAsia="zh-CN"/>
        </w:rPr>
        <w:t>全面落实行政执法“三项制度”。成立了行政执法三项制度工作领导小组，明确责任落实，印发《行政执法公示制度重大执法决定法制审核制度执法全过程记录制度》和《行政执法全过程记录信息调阅制度》，规范了执法行为和材料管理；我局持有</w:t>
      </w:r>
      <w:r>
        <w:rPr>
          <w:rFonts w:hint="eastAsia" w:ascii="方正仿宋_GBK" w:hAnsi="方正仿宋_GBK" w:eastAsia="方正仿宋_GBK" w:cs="方正仿宋_GBK"/>
          <w:sz w:val="32"/>
          <w:szCs w:val="32"/>
          <w:u w:val="none"/>
          <w:lang w:val="en-US" w:eastAsia="zh-CN"/>
        </w:rPr>
        <w:t>行政执法证件</w:t>
      </w:r>
      <w:r>
        <w:rPr>
          <w:rFonts w:hint="eastAsia" w:ascii="方正仿宋_GBK" w:hAnsi="方正仿宋_GBK" w:eastAsia="方正仿宋_GBK" w:cs="方正仿宋_GBK"/>
          <w:color w:val="auto"/>
          <w:sz w:val="32"/>
          <w:szCs w:val="32"/>
          <w:u w:val="none"/>
          <w:lang w:val="en-US" w:eastAsia="zh-CN"/>
        </w:rPr>
        <w:t>人员共36人，</w:t>
      </w:r>
      <w:r>
        <w:rPr>
          <w:rFonts w:hint="eastAsia" w:ascii="方正仿宋_GBK" w:hAnsi="方正仿宋_GBK" w:eastAsia="方正仿宋_GBK" w:cs="方正仿宋_GBK"/>
          <w:sz w:val="32"/>
          <w:szCs w:val="32"/>
          <w:lang w:val="en-US" w:eastAsia="zh-CN"/>
        </w:rPr>
        <w:t>严格按照法定程序开展现场执法检查，规范使用执法文书，按科室职责，为6个科室配备执法记录仪，实现了执法全过程记录；除对执法主体、执法人员、执法权限、执法程序、相关的法律法规等进行了公示外，还严格按照“谁产生、谁采集、谁负责”的原则，及时采集执法信息，做到行政处罚、行政审批情况7个工作日内在信用重庆公示，执法检查、事故调查的相关情况每月定期在局官网进行公示，做到监管透明；严格落实重大执法决定法制审核制度，今年局党委专题会议研究调整了行政执法法制审核人员，明确分管法制工作的领导为法制审核机构负责人，设2名法制审核工作人员，占本单位执法人</w:t>
      </w:r>
      <w:r>
        <w:rPr>
          <w:rFonts w:hint="eastAsia" w:ascii="方正仿宋_GBK" w:hAnsi="方正仿宋_GBK" w:eastAsia="方正仿宋_GBK" w:cs="方正仿宋_GBK"/>
          <w:color w:val="auto"/>
          <w:sz w:val="32"/>
          <w:szCs w:val="32"/>
          <w:u w:val="none"/>
          <w:lang w:val="en-US" w:eastAsia="zh-CN"/>
        </w:rPr>
        <w:t>数的5.6%，制定重大执法决定法制审核目录清单，对</w:t>
      </w:r>
      <w:r>
        <w:rPr>
          <w:rFonts w:hint="eastAsia" w:ascii="方正仿宋_GBK" w:hAnsi="方正仿宋_GBK" w:eastAsia="方正仿宋_GBK" w:cs="方正仿宋_GBK"/>
          <w:sz w:val="32"/>
          <w:szCs w:val="32"/>
          <w:lang w:val="en-US" w:eastAsia="zh-CN"/>
        </w:rPr>
        <w:t>普通程序的行政处罚案件、涉及重大公共利益或相对人（第三人）重大权益的事项、情况复杂涉及多个法律关系等案件，均开展了法制审核，近几年无行政复议、行政诉讼案件。三是扎实开展专项整治。严格按照《全区安全生产专项整治三年行动实施方案》督促各镇街、相关部门和单位梳理并实时更新本辖区、本行业领域任务清单，扎实开展“挂图作战”，开展道路交通安全、非煤矿山领域、危化领域、百日行动等专项整治行动，健全隐患风险防控体系。2021年1-10月，行政区共检查企业6301家次，排查隐患6552条，安全生产事前行政处罚生产经营单位963家（不含区公安交巡警支队），警告21644次，罚款2415.1675（含区公安交巡警支队罚款1988.2406万元）万元，责令停产停业4家，暂扣（吊销）证照728个，没收违法所得和非法财物54次，行政拘留35人。四是持续改进执法方式。通过专家指导、跨部门联合执法、“双随机、一公开”、警示教育等方式，督促企业现场整改、限期整改，减轻企业迎检负担。今年以来，聘</w:t>
      </w:r>
      <w:r>
        <w:rPr>
          <w:rFonts w:hint="eastAsia" w:ascii="方正仿宋_GBK" w:hAnsi="方正仿宋_GBK" w:eastAsia="方正仿宋_GBK" w:cs="方正仿宋_GBK"/>
          <w:color w:val="auto"/>
          <w:sz w:val="32"/>
          <w:szCs w:val="32"/>
          <w:lang w:val="en-US" w:eastAsia="zh-CN"/>
        </w:rPr>
        <w:t>请专家对企业进行现场指导和检查87家次，开展“十百千”、家具铸造企业、主要负责人暨安全管理人员等</w:t>
      </w:r>
      <w:r>
        <w:rPr>
          <w:rFonts w:hint="eastAsia" w:ascii="方正仿宋_GBK" w:hAnsi="方正仿宋_GBK" w:eastAsia="方正仿宋_GBK" w:cs="方正仿宋_GBK"/>
          <w:color w:val="auto"/>
          <w:sz w:val="32"/>
          <w:szCs w:val="32"/>
          <w:u w:val="none"/>
          <w:lang w:val="en-US" w:eastAsia="zh-CN"/>
        </w:rPr>
        <w:t>专题培训6次</w:t>
      </w:r>
      <w:r>
        <w:rPr>
          <w:rFonts w:hint="eastAsia" w:ascii="方正仿宋_GBK" w:hAnsi="方正仿宋_GBK" w:eastAsia="方正仿宋_GBK" w:cs="方正仿宋_GBK"/>
          <w:color w:val="auto"/>
          <w:sz w:val="32"/>
          <w:szCs w:val="32"/>
          <w:lang w:val="en-US" w:eastAsia="zh-CN"/>
        </w:rPr>
        <w:t>，当场整改</w:t>
      </w:r>
      <w:r>
        <w:rPr>
          <w:rFonts w:hint="eastAsia" w:ascii="方正仿宋_GBK" w:hAnsi="方正仿宋_GBK" w:eastAsia="方正仿宋_GBK" w:cs="方正仿宋_GBK"/>
          <w:color w:val="auto"/>
          <w:sz w:val="32"/>
          <w:szCs w:val="32"/>
          <w:u w:val="none"/>
          <w:lang w:val="en-US" w:eastAsia="zh-CN"/>
        </w:rPr>
        <w:t>或</w:t>
      </w:r>
      <w:r>
        <w:rPr>
          <w:rFonts w:hint="eastAsia" w:ascii="方正仿宋_GBK" w:hAnsi="方正仿宋_GBK" w:eastAsia="方正仿宋_GBK" w:cs="方正仿宋_GBK"/>
          <w:color w:val="auto"/>
          <w:sz w:val="32"/>
          <w:szCs w:val="32"/>
          <w:lang w:val="en-US" w:eastAsia="zh-CN"/>
        </w:rPr>
        <w:t>限期整改不予</w:t>
      </w:r>
      <w:r>
        <w:rPr>
          <w:rFonts w:hint="eastAsia" w:ascii="方正仿宋_GBK" w:hAnsi="方正仿宋_GBK" w:eastAsia="方正仿宋_GBK" w:cs="方正仿宋_GBK"/>
          <w:color w:val="auto"/>
          <w:sz w:val="32"/>
          <w:szCs w:val="32"/>
          <w:u w:val="none"/>
          <w:lang w:val="en-US" w:eastAsia="zh-CN"/>
        </w:rPr>
        <w:t>处罚26家次</w:t>
      </w:r>
      <w:r>
        <w:rPr>
          <w:rFonts w:hint="eastAsia" w:ascii="方正仿宋_GBK" w:hAnsi="方正仿宋_GBK" w:eastAsia="方正仿宋_GBK" w:cs="方正仿宋_GBK"/>
          <w:color w:val="auto"/>
          <w:sz w:val="32"/>
          <w:szCs w:val="32"/>
          <w:lang w:val="en-US" w:eastAsia="zh-CN"/>
        </w:rPr>
        <w:t>，减轻及从轻</w:t>
      </w:r>
      <w:r>
        <w:rPr>
          <w:rFonts w:hint="eastAsia" w:ascii="方正仿宋_GBK" w:hAnsi="方正仿宋_GBK" w:eastAsia="方正仿宋_GBK" w:cs="方正仿宋_GBK"/>
          <w:color w:val="auto"/>
          <w:sz w:val="32"/>
          <w:szCs w:val="32"/>
          <w:u w:val="none"/>
          <w:lang w:val="en-US" w:eastAsia="zh-CN"/>
        </w:rPr>
        <w:t>处罚17家次</w:t>
      </w:r>
      <w:r>
        <w:rPr>
          <w:rFonts w:hint="eastAsia" w:ascii="方正仿宋_GBK" w:hAnsi="方正仿宋_GBK" w:eastAsia="方正仿宋_GBK" w:cs="方正仿宋_GBK"/>
          <w:color w:val="auto"/>
          <w:sz w:val="32"/>
          <w:szCs w:val="32"/>
          <w:lang w:val="en-US" w:eastAsia="zh-CN"/>
        </w:rPr>
        <w:t>。</w:t>
      </w:r>
      <w:r>
        <w:rPr>
          <w:rFonts w:hint="eastAsia" w:ascii="方正仿宋_GBK" w:hAnsi="方正仿宋_GBK" w:eastAsia="方正仿宋_GBK" w:cs="方正仿宋_GBK"/>
          <w:sz w:val="32"/>
          <w:szCs w:val="32"/>
          <w:lang w:val="en-US" w:eastAsia="zh-CN"/>
        </w:rPr>
        <w:t>五是提升行政执法人员的专业能力。</w:t>
      </w:r>
      <w:r>
        <w:rPr>
          <w:rFonts w:hint="eastAsia" w:ascii="方正仿宋_GBK" w:hAnsi="方正仿宋_GBK" w:eastAsia="方正仿宋_GBK" w:cs="方正仿宋_GBK"/>
          <w:color w:val="auto"/>
          <w:sz w:val="32"/>
          <w:szCs w:val="32"/>
          <w:lang w:val="en-US" w:eastAsia="zh-CN"/>
        </w:rPr>
        <w:t>充分利用应急管理干部网络学院、学习强国、重庆干部网络学院平台，积极组织干部职工进行学习，监督学习进度，及时督促提醒，确保完成年度学习任务。每年组织一次为期2-3天的行政执法等方面的应急系统人员培训班，聘请市级部门有关领导和专家进行授课，对有关单位和镇街的应急系统工作人员进行法律知识、业务知识、执法技能等培训并进行考核，提高行政执法人员的专业性。</w:t>
      </w:r>
    </w:p>
    <w:p>
      <w:pPr>
        <w:keepNext w:val="0"/>
        <w:keepLines w:val="0"/>
        <w:pageBreakBefore w:val="0"/>
        <w:widowControl w:val="0"/>
        <w:kinsoku/>
        <w:wordWrap/>
        <w:overflowPunct/>
        <w:topLinePunct w:val="0"/>
        <w:autoSpaceDE w:val="0"/>
        <w:autoSpaceDN w:val="0"/>
        <w:bidi w:val="0"/>
        <w:adjustRightInd w:val="0"/>
        <w:snapToGrid w:val="0"/>
        <w:spacing w:line="580" w:lineRule="exact"/>
        <w:ind w:firstLine="640" w:firstLineChars="200"/>
        <w:jc w:val="both"/>
        <w:textAlignment w:val="auto"/>
        <w:outlineLvl w:val="9"/>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（三）深化放管服改革</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line="58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一是进一步压缩审批时限。</w:t>
      </w:r>
      <w:r>
        <w:rPr>
          <w:rFonts w:hint="eastAsia" w:ascii="方正仿宋_GBK" w:hAnsi="方正仿宋_GBK" w:eastAsia="方正仿宋_GBK" w:cs="方正仿宋_GBK"/>
          <w:sz w:val="32"/>
          <w:szCs w:val="32"/>
        </w:rPr>
        <w:t>缩短</w:t>
      </w:r>
      <w:r>
        <w:rPr>
          <w:rFonts w:hint="eastAsia" w:ascii="方正仿宋_GBK" w:hAnsi="方正仿宋_GBK" w:eastAsia="方正仿宋_GBK" w:cs="方正仿宋_GBK"/>
          <w:sz w:val="32"/>
          <w:szCs w:val="32"/>
          <w:lang w:val="en-US" w:eastAsia="zh-CN"/>
        </w:rPr>
        <w:t>17</w:t>
      </w:r>
      <w:r>
        <w:rPr>
          <w:rFonts w:hint="eastAsia" w:ascii="方正仿宋_GBK" w:hAnsi="方正仿宋_GBK" w:eastAsia="方正仿宋_GBK" w:cs="方正仿宋_GBK"/>
          <w:sz w:val="32"/>
          <w:szCs w:val="32"/>
        </w:rPr>
        <w:t>项行政许可事项承诺办结时限，由原来法定办结时限</w:t>
      </w:r>
      <w:r>
        <w:rPr>
          <w:rFonts w:hint="eastAsia" w:ascii="方正仿宋_GBK" w:hAnsi="方正仿宋_GBK" w:eastAsia="方正仿宋_GBK" w:cs="方正仿宋_GBK"/>
          <w:sz w:val="32"/>
          <w:szCs w:val="32"/>
          <w:lang w:val="en-US" w:eastAsia="zh-CN"/>
        </w:rPr>
        <w:t>550</w:t>
      </w:r>
      <w:r>
        <w:rPr>
          <w:rFonts w:hint="eastAsia" w:ascii="方正仿宋_GBK" w:hAnsi="方正仿宋_GBK" w:eastAsia="方正仿宋_GBK" w:cs="方正仿宋_GBK"/>
          <w:sz w:val="32"/>
          <w:szCs w:val="32"/>
        </w:rPr>
        <w:t>个工作日缩短为</w:t>
      </w:r>
      <w:r>
        <w:rPr>
          <w:rFonts w:hint="eastAsia" w:ascii="方正仿宋_GBK" w:hAnsi="方正仿宋_GBK" w:eastAsia="方正仿宋_GBK" w:cs="方正仿宋_GBK"/>
          <w:sz w:val="32"/>
          <w:szCs w:val="32"/>
          <w:lang w:val="en-US" w:eastAsia="zh-CN"/>
        </w:rPr>
        <w:t>31</w:t>
      </w:r>
      <w:r>
        <w:rPr>
          <w:rFonts w:hint="eastAsia" w:ascii="方正仿宋_GBK" w:hAnsi="方正仿宋_GBK" w:eastAsia="方正仿宋_GBK" w:cs="方正仿宋_GBK"/>
          <w:sz w:val="32"/>
          <w:szCs w:val="32"/>
        </w:rPr>
        <w:t>个工作日，</w:t>
      </w:r>
      <w:r>
        <w:rPr>
          <w:rFonts w:hint="eastAsia" w:ascii="方正仿宋_GBK" w:hAnsi="方正仿宋_GBK" w:eastAsia="方正仿宋_GBK" w:cs="方正仿宋_GBK"/>
          <w:sz w:val="32"/>
          <w:szCs w:val="32"/>
          <w:lang w:eastAsia="zh-CN"/>
        </w:rPr>
        <w:t>压缩时限</w:t>
      </w:r>
      <w:r>
        <w:rPr>
          <w:rFonts w:hint="eastAsia" w:ascii="方正仿宋_GBK" w:hAnsi="方正仿宋_GBK" w:eastAsia="方正仿宋_GBK" w:cs="方正仿宋_GBK"/>
          <w:sz w:val="32"/>
          <w:szCs w:val="32"/>
          <w:lang w:val="en-US" w:eastAsia="zh-CN"/>
        </w:rPr>
        <w:t>94.4%，</w:t>
      </w:r>
      <w:r>
        <w:rPr>
          <w:rFonts w:hint="eastAsia" w:ascii="方正仿宋_GBK" w:hAnsi="方正仿宋_GBK" w:eastAsia="方正仿宋_GBK" w:cs="方正仿宋_GBK"/>
          <w:sz w:val="32"/>
          <w:szCs w:val="32"/>
        </w:rPr>
        <w:t>其中</w:t>
      </w:r>
      <w:r>
        <w:rPr>
          <w:rFonts w:hint="eastAsia" w:ascii="方正仿宋_GBK" w:hAnsi="方正仿宋_GBK" w:eastAsia="方正仿宋_GBK" w:cs="方正仿宋_GBK"/>
          <w:sz w:val="32"/>
          <w:szCs w:val="32"/>
          <w:lang w:val="en-US" w:eastAsia="zh-CN"/>
        </w:rPr>
        <w:t>10</w:t>
      </w:r>
      <w:r>
        <w:rPr>
          <w:rFonts w:hint="eastAsia" w:ascii="方正仿宋_GBK" w:hAnsi="方正仿宋_GBK" w:eastAsia="方正仿宋_GBK" w:cs="方正仿宋_GBK"/>
          <w:sz w:val="32"/>
          <w:szCs w:val="32"/>
        </w:rPr>
        <w:t>项为1个工作日内办结事项，切实提升</w:t>
      </w:r>
      <w:r>
        <w:rPr>
          <w:rFonts w:hint="eastAsia" w:ascii="方正仿宋_GBK" w:hAnsi="方正仿宋_GBK" w:eastAsia="方正仿宋_GBK" w:cs="方正仿宋_GBK"/>
          <w:sz w:val="32"/>
          <w:szCs w:val="32"/>
          <w:lang w:eastAsia="zh-CN"/>
        </w:rPr>
        <w:t>了</w:t>
      </w:r>
      <w:r>
        <w:rPr>
          <w:rFonts w:hint="eastAsia" w:ascii="方正仿宋_GBK" w:hAnsi="方正仿宋_GBK" w:eastAsia="方正仿宋_GBK" w:cs="方正仿宋_GBK"/>
          <w:sz w:val="32"/>
          <w:szCs w:val="32"/>
        </w:rPr>
        <w:t>群众满意度。</w:t>
      </w:r>
      <w:r>
        <w:rPr>
          <w:rFonts w:hint="eastAsia" w:ascii="方正仿宋_GBK" w:hAnsi="方正仿宋_GBK" w:eastAsia="方正仿宋_GBK" w:cs="方正仿宋_GBK"/>
          <w:sz w:val="32"/>
          <w:szCs w:val="32"/>
          <w:lang w:val="en-US" w:eastAsia="zh-CN"/>
        </w:rPr>
        <w:t>二是进一步提升审批效率。深入推进“互联网+政务服务”，持续优化办事指南，加快审批服务标准化、数字化，</w:t>
      </w:r>
      <w:r>
        <w:rPr>
          <w:rFonts w:hint="eastAsia" w:ascii="方正仿宋_GBK" w:hAnsi="方正仿宋_GBK" w:eastAsia="方正仿宋_GBK" w:cs="方正仿宋_GBK"/>
          <w:sz w:val="32"/>
          <w:szCs w:val="32"/>
          <w:lang w:eastAsia="zh-CN"/>
        </w:rPr>
        <w:t>全面推行零跑腿，通过申请材料电子化和免费邮政快递寄送必备的纸质资料相结合的方式，所有行政许可事项均实现</w:t>
      </w:r>
      <w:r>
        <w:rPr>
          <w:rFonts w:hint="eastAsia" w:ascii="方正仿宋_GBK" w:hAnsi="方正仿宋_GBK" w:eastAsia="方正仿宋_GBK" w:cs="方正仿宋_GBK"/>
          <w:sz w:val="32"/>
          <w:szCs w:val="32"/>
          <w:lang w:val="en-US" w:eastAsia="zh-CN"/>
        </w:rPr>
        <w:t>零跑动，全程网办率100%。三是进一步加强事中事后监管。按照“谁审批谁监管”“谁主管谁监管”原则，摸清企业底数，明确监管范围和对象，建立企业名录库，全面推行重点监管、“双随机、一公开”、跨部门联合监管和“互联网+监管”相结合的监管模式，减轻企业负担。</w:t>
      </w:r>
    </w:p>
    <w:p>
      <w:pPr>
        <w:keepNext w:val="0"/>
        <w:keepLines w:val="0"/>
        <w:pageBreakBefore w:val="0"/>
        <w:widowControl w:val="0"/>
        <w:kinsoku/>
        <w:wordWrap/>
        <w:overflowPunct/>
        <w:topLinePunct w:val="0"/>
        <w:autoSpaceDE w:val="0"/>
        <w:autoSpaceDN w:val="0"/>
        <w:bidi w:val="0"/>
        <w:adjustRightInd w:val="0"/>
        <w:snapToGrid w:val="0"/>
        <w:spacing w:line="580" w:lineRule="exact"/>
        <w:ind w:firstLine="640" w:firstLineChars="200"/>
        <w:jc w:val="both"/>
        <w:textAlignment w:val="auto"/>
        <w:outlineLvl w:val="9"/>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（四）营造良好法治氛围</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val="0"/>
        <w:autoSpaceDN w:val="0"/>
        <w:bidi w:val="0"/>
        <w:adjustRightInd w:val="0"/>
        <w:snapToGrid w:val="0"/>
        <w:spacing w:before="0" w:beforeAutospacing="0" w:afterAutospacing="0" w:line="580" w:lineRule="exact"/>
        <w:ind w:right="0" w:rightChars="0" w:firstLine="640" w:firstLineChars="200"/>
        <w:jc w:val="both"/>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一是开展主题宣传活动。</w:t>
      </w:r>
      <w:r>
        <w:rPr>
          <w:rFonts w:hint="eastAsia" w:ascii="方正仿宋_GBK" w:hAnsi="方正仿宋_GBK" w:eastAsia="方正仿宋_GBK" w:cs="方正仿宋_GBK"/>
          <w:b w:val="0"/>
          <w:bCs w:val="0"/>
          <w:sz w:val="32"/>
          <w:szCs w:val="32"/>
          <w:u w:val="none"/>
          <w:vertAlign w:val="baseline"/>
          <w:lang w:val="en-US" w:eastAsia="zh-CN"/>
        </w:rPr>
        <w:t>每年结合“安全生产月”、“防灾减灾日”等主题活动，开展了3场法治宣传教育活动，设置展板200余块，悬挂横幅300余条，发放各类宣传资料10万余份，参与人数达4万余人次。</w:t>
      </w:r>
      <w:r>
        <w:rPr>
          <w:rFonts w:hint="eastAsia" w:ascii="方正仿宋_GBK" w:hAnsi="方正仿宋_GBK" w:eastAsia="方正仿宋_GBK" w:cs="方正仿宋_GBK"/>
          <w:sz w:val="32"/>
          <w:szCs w:val="32"/>
          <w:lang w:val="en-US" w:eastAsia="zh-CN"/>
        </w:rPr>
        <w:t>二是借助新媒体加大宣传力度。</w:t>
      </w:r>
      <w:r>
        <w:rPr>
          <w:rFonts w:hint="eastAsia" w:ascii="方正仿宋_GBK" w:hAnsi="方正仿宋_GBK" w:eastAsia="方正仿宋_GBK" w:cs="方正仿宋_GBK"/>
          <w:b w:val="0"/>
          <w:bCs w:val="0"/>
          <w:sz w:val="32"/>
          <w:szCs w:val="32"/>
          <w:u w:val="none"/>
          <w:vertAlign w:val="baseline"/>
          <w:lang w:val="en-US" w:eastAsia="zh-CN"/>
        </w:rPr>
        <w:t>通过区融媒体、大足手机台首页刊登宣传海报1个月；公交车车载视频播放宣传片2.14万次，实现178辆公交车全覆盖；“大足之声”广播电台播报安全生产相关信息3个月，共计180条；MK广场LED大屏宣传30天，时长共计600分钟；微信公众号刊登相关知识、报道计72条；网络平台向群众发送防灾减灾信息8万余条。三是加强安全知识“五进”活动。组织人员进企业、进学校、进农村、进社区、进家庭分发宣传资料、宣传手册等，进行一对一讲解，发放宣传品2万余份。</w:t>
      </w:r>
      <w:r>
        <w:rPr>
          <w:rFonts w:hint="eastAsia" w:ascii="方正仿宋_GBK" w:hAnsi="方正仿宋_GBK" w:eastAsia="方正仿宋_GBK" w:cs="方正仿宋_GBK"/>
          <w:sz w:val="32"/>
          <w:szCs w:val="32"/>
          <w:lang w:val="en-US" w:eastAsia="zh-CN"/>
        </w:rPr>
        <w:t>四是开展新修订《安全生产法》集中宣传。</w:t>
      </w:r>
      <w:r>
        <w:rPr>
          <w:rFonts w:hint="eastAsia" w:ascii="方正仿宋_GBK" w:hAnsi="方正仿宋_GBK" w:eastAsia="方正仿宋_GBK" w:cs="方正仿宋_GBK"/>
          <w:i w:val="0"/>
          <w:caps w:val="0"/>
          <w:color w:val="000000"/>
          <w:spacing w:val="8"/>
          <w:kern w:val="0"/>
          <w:sz w:val="32"/>
          <w:szCs w:val="32"/>
          <w:shd w:val="clear" w:color="auto" w:fill="FFFFFF"/>
          <w:lang w:val="en-US" w:eastAsia="zh-CN" w:bidi="ar"/>
        </w:rPr>
        <w:t>制作并发放《安全生产法》单行本、宣传手册等6万余份，</w:t>
      </w:r>
      <w:r>
        <w:rPr>
          <w:rFonts w:hint="eastAsia" w:ascii="方正仿宋_GBK" w:hAnsi="方正仿宋_GBK" w:eastAsia="方正仿宋_GBK" w:cs="方正仿宋_GBK"/>
          <w:i w:val="0"/>
          <w:caps w:val="0"/>
          <w:color w:val="333333"/>
          <w:spacing w:val="0"/>
          <w:sz w:val="32"/>
          <w:szCs w:val="32"/>
          <w:shd w:val="clear" w:color="auto" w:fill="FFFFFF"/>
          <w:lang w:eastAsia="zh-CN"/>
        </w:rPr>
        <w:t>张贴宣传标语</w:t>
      </w:r>
      <w:r>
        <w:rPr>
          <w:rFonts w:hint="eastAsia" w:ascii="方正仿宋_GBK" w:hAnsi="方正仿宋_GBK" w:eastAsia="方正仿宋_GBK" w:cs="方正仿宋_GBK"/>
          <w:i w:val="0"/>
          <w:caps w:val="0"/>
          <w:color w:val="333333"/>
          <w:spacing w:val="0"/>
          <w:sz w:val="32"/>
          <w:szCs w:val="32"/>
          <w:shd w:val="clear" w:color="auto" w:fill="FFFFFF"/>
          <w:lang w:val="en-US" w:eastAsia="zh-CN"/>
        </w:rPr>
        <w:t>458条</w:t>
      </w:r>
      <w:r>
        <w:rPr>
          <w:rFonts w:hint="eastAsia" w:ascii="方正仿宋_GBK" w:hAnsi="方正仿宋_GBK" w:eastAsia="方正仿宋_GBK" w:cs="方正仿宋_GBK"/>
          <w:i w:val="0"/>
          <w:caps w:val="0"/>
          <w:color w:val="333333"/>
          <w:spacing w:val="0"/>
          <w:sz w:val="32"/>
          <w:szCs w:val="32"/>
          <w:shd w:val="clear" w:color="auto" w:fill="FFFFFF"/>
          <w:lang w:eastAsia="zh-CN"/>
        </w:rPr>
        <w:t>。</w:t>
      </w:r>
      <w:r>
        <w:rPr>
          <w:rFonts w:hint="eastAsia" w:ascii="方正仿宋_GBK" w:hAnsi="方正仿宋_GBK" w:eastAsia="方正仿宋_GBK" w:cs="方正仿宋_GBK"/>
          <w:sz w:val="32"/>
          <w:szCs w:val="32"/>
          <w:lang w:val="en-US" w:eastAsia="zh-CN"/>
        </w:rPr>
        <w:t>举办危化行业、工贸行业安全生产知识竞赛活动2场，</w:t>
      </w:r>
      <w:r>
        <w:rPr>
          <w:rFonts w:hint="eastAsia" w:ascii="方正仿宋_GBK" w:hAnsi="方正仿宋_GBK" w:eastAsia="方正仿宋_GBK" w:cs="方正仿宋_GBK"/>
          <w:i w:val="0"/>
          <w:caps w:val="0"/>
          <w:color w:val="000000"/>
          <w:spacing w:val="8"/>
          <w:kern w:val="0"/>
          <w:sz w:val="32"/>
          <w:szCs w:val="32"/>
          <w:shd w:val="clear" w:color="auto" w:fill="FFFFFF"/>
          <w:lang w:val="en-US" w:eastAsia="zh-CN" w:bidi="ar"/>
        </w:rPr>
        <w:t>通过比赛促学，提升宣传效果。</w:t>
      </w:r>
      <w:r>
        <w:rPr>
          <w:rFonts w:hint="eastAsia" w:ascii="方正仿宋_GBK" w:hAnsi="方正仿宋_GBK" w:eastAsia="方正仿宋_GBK" w:cs="方正仿宋_GBK"/>
          <w:sz w:val="32"/>
          <w:szCs w:val="32"/>
          <w:lang w:val="en-US" w:eastAsia="zh-CN"/>
        </w:rPr>
        <w:t>五是大力宣传《民法典》、《行政处罚法》等法律法规。</w:t>
      </w:r>
      <w:r>
        <w:rPr>
          <w:rFonts w:hint="eastAsia" w:ascii="方正仿宋_GBK" w:hAnsi="方正仿宋_GBK" w:eastAsia="方正仿宋_GBK" w:cs="方正仿宋_GBK"/>
          <w:b w:val="0"/>
          <w:bCs w:val="0"/>
          <w:sz w:val="32"/>
          <w:szCs w:val="32"/>
          <w:u w:val="none"/>
          <w:vertAlign w:val="baseline"/>
          <w:lang w:val="en-US" w:eastAsia="zh-CN"/>
        </w:rPr>
        <w:t>拓宽宣传渠道，通过干部职工会、微信群、钉钉群、大厅宣传屏幕、悬挂广告牌12块等多渠道宣传相关法律法规。</w:t>
      </w:r>
    </w:p>
    <w:p>
      <w:pPr>
        <w:keepNext w:val="0"/>
        <w:keepLines w:val="0"/>
        <w:pageBreakBefore w:val="0"/>
        <w:widowControl w:val="0"/>
        <w:kinsoku/>
        <w:wordWrap/>
        <w:overflowPunct/>
        <w:topLinePunct w:val="0"/>
        <w:autoSpaceDE w:val="0"/>
        <w:autoSpaceDN w:val="0"/>
        <w:bidi w:val="0"/>
        <w:adjustRightInd w:val="0"/>
        <w:snapToGrid w:val="0"/>
        <w:spacing w:line="580" w:lineRule="exact"/>
        <w:ind w:firstLine="640" w:firstLineChars="200"/>
        <w:jc w:val="both"/>
        <w:textAlignment w:val="auto"/>
        <w:outlineLvl w:val="9"/>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（五）加强行政规范性文件管理</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line="580" w:lineRule="exact"/>
        <w:ind w:firstLine="640" w:firstLineChars="200"/>
        <w:jc w:val="both"/>
        <w:textAlignment w:val="auto"/>
        <w:outlineLvl w:val="9"/>
        <w:rPr>
          <w:rFonts w:hint="eastAsia"/>
          <w:lang w:val="en-US" w:eastAsia="zh-CN"/>
        </w:rPr>
      </w:pPr>
      <w:r>
        <w:rPr>
          <w:rFonts w:hint="eastAsia" w:ascii="方正仿宋_GBK" w:hAnsi="方正仿宋_GBK" w:eastAsia="方正仿宋_GBK" w:cs="方正仿宋_GBK"/>
          <w:sz w:val="32"/>
          <w:szCs w:val="32"/>
          <w:lang w:val="en-US" w:eastAsia="zh-CN"/>
        </w:rPr>
        <w:t>我局现行有效的规范性文件有2个，分别是《大足区在高危行业领域强制推行安全生产责任保险实施方案》和《重庆市大足区煤矿关闭奖励资金管理办法》。今年以来，我局根据《重庆市行政规范性文件管理办法》开展行政规范性文件自查清理1次，开展公平竞争审查自查清理1次，并形成了实施效果评估报告，组织行政规范性文件专题培训1次，对全局干部职工进行了业务培训</w:t>
      </w:r>
      <w:r>
        <w:rPr>
          <w:rFonts w:hint="eastAsia" w:ascii="方正仿宋_GBK" w:hAnsi="方正仿宋_GBK" w:cs="方正仿宋_GBK"/>
          <w:sz w:val="32"/>
          <w:szCs w:val="32"/>
          <w:lang w:val="en-US" w:eastAsia="zh-CN"/>
        </w:rPr>
        <w:t>，讲解制发程序，强化责任意识，严格审核把关</w:t>
      </w:r>
      <w:r>
        <w:rPr>
          <w:rFonts w:hint="eastAsia" w:ascii="方正仿宋_GBK" w:hAnsi="方正仿宋_GBK" w:eastAsia="方正仿宋_GBK" w:cs="方正仿宋_GBK"/>
          <w:sz w:val="32"/>
          <w:szCs w:val="32"/>
          <w:lang w:val="en-US" w:eastAsia="zh-CN"/>
        </w:rPr>
        <w:t>。</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line="580" w:lineRule="exact"/>
        <w:ind w:firstLine="640" w:firstLineChars="200"/>
        <w:jc w:val="both"/>
        <w:textAlignment w:val="auto"/>
        <w:outlineLvl w:val="9"/>
        <w:rPr>
          <w:rFonts w:hint="eastAsia" w:ascii="方正仿宋_GBK" w:hAnsi="方正仿宋_GBK" w:eastAsia="方正仿宋_GBK" w:cs="方正仿宋_GBK"/>
          <w:b w:val="0"/>
          <w:spacing w:val="-2"/>
          <w:kern w:val="2"/>
          <w:sz w:val="32"/>
          <w:szCs w:val="32"/>
          <w:lang w:val="en-US" w:eastAsia="zh-CN" w:bidi="ar-SA"/>
        </w:rPr>
      </w:pPr>
      <w:r>
        <w:rPr>
          <w:rFonts w:hint="eastAsia" w:ascii="方正楷体_GBK" w:hAnsi="方正楷体_GBK" w:eastAsia="方正楷体_GBK" w:cs="方正楷体_GBK"/>
          <w:sz w:val="32"/>
          <w:szCs w:val="32"/>
          <w:lang w:val="en-US" w:eastAsia="zh-CN"/>
        </w:rPr>
        <w:t>（六）主动化解社会矛盾纠纷</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line="580" w:lineRule="exact"/>
        <w:ind w:firstLine="632" w:firstLineChars="200"/>
        <w:jc w:val="both"/>
        <w:textAlignment w:val="auto"/>
        <w:outlineLvl w:val="9"/>
        <w:rPr>
          <w:rFonts w:hint="eastAsia" w:ascii="方正仿宋_GBK" w:hAnsi="方正仿宋_GBK" w:eastAsia="方正仿宋_GBK" w:cs="方正仿宋_GBK"/>
          <w:b w:val="0"/>
          <w:spacing w:val="-2"/>
          <w:kern w:val="2"/>
          <w:sz w:val="32"/>
          <w:szCs w:val="32"/>
          <w:lang w:val="en-US" w:eastAsia="zh-CN" w:bidi="ar-SA"/>
        </w:rPr>
      </w:pPr>
      <w:r>
        <w:rPr>
          <w:rFonts w:hint="eastAsia" w:ascii="方正仿宋_GBK" w:hAnsi="方正仿宋_GBK" w:eastAsia="方正仿宋_GBK" w:cs="方正仿宋_GBK"/>
          <w:b w:val="0"/>
          <w:spacing w:val="-2"/>
          <w:kern w:val="2"/>
          <w:sz w:val="32"/>
          <w:szCs w:val="32"/>
          <w:lang w:val="en-US" w:eastAsia="zh-CN" w:bidi="ar-SA"/>
        </w:rPr>
        <w:t>1-</w:t>
      </w:r>
      <w:r>
        <w:rPr>
          <w:rFonts w:hint="eastAsia" w:ascii="方正仿宋_GBK" w:hAnsi="方正仿宋_GBK" w:cs="方正仿宋_GBK"/>
          <w:b w:val="0"/>
          <w:spacing w:val="-2"/>
          <w:kern w:val="2"/>
          <w:sz w:val="32"/>
          <w:szCs w:val="32"/>
          <w:lang w:val="en-US" w:eastAsia="zh-CN" w:bidi="ar-SA"/>
        </w:rPr>
        <w:t>10</w:t>
      </w:r>
      <w:r>
        <w:rPr>
          <w:rFonts w:hint="eastAsia" w:ascii="方正仿宋_GBK" w:hAnsi="方正仿宋_GBK" w:eastAsia="方正仿宋_GBK" w:cs="方正仿宋_GBK"/>
          <w:b w:val="0"/>
          <w:spacing w:val="-2"/>
          <w:kern w:val="2"/>
          <w:sz w:val="32"/>
          <w:szCs w:val="32"/>
          <w:lang w:val="en-US" w:eastAsia="zh-CN" w:bidi="ar-SA"/>
        </w:rPr>
        <w:t>月，</w:t>
      </w:r>
      <w:r>
        <w:rPr>
          <w:rFonts w:hint="eastAsia" w:ascii="方正仿宋_GBK" w:hAnsi="方正仿宋_GBK" w:cs="方正仿宋_GBK"/>
          <w:b w:val="0"/>
          <w:spacing w:val="-2"/>
          <w:kern w:val="2"/>
          <w:sz w:val="32"/>
          <w:szCs w:val="32"/>
          <w:lang w:val="en-US" w:eastAsia="zh-CN" w:bidi="ar-SA"/>
        </w:rPr>
        <w:t>报送信息16条，</w:t>
      </w:r>
      <w:r>
        <w:rPr>
          <w:rFonts w:hint="eastAsia" w:ascii="方正仿宋_GBK" w:hAnsi="方正仿宋_GBK" w:eastAsia="方正仿宋_GBK" w:cs="方正仿宋_GBK"/>
          <w:b w:val="0"/>
          <w:spacing w:val="-2"/>
          <w:kern w:val="2"/>
          <w:sz w:val="32"/>
          <w:szCs w:val="32"/>
          <w:lang w:val="en-US" w:eastAsia="zh-CN" w:bidi="ar-SA"/>
        </w:rPr>
        <w:t>办理人民群众来信上级转办批件</w:t>
      </w:r>
      <w:r>
        <w:rPr>
          <w:rFonts w:hint="eastAsia" w:ascii="方正仿宋_GBK" w:hAnsi="方正仿宋_GBK" w:cs="方正仿宋_GBK"/>
          <w:b w:val="0"/>
          <w:spacing w:val="-2"/>
          <w:kern w:val="2"/>
          <w:sz w:val="32"/>
          <w:szCs w:val="32"/>
          <w:lang w:val="en-US" w:eastAsia="zh-CN" w:bidi="ar-SA"/>
        </w:rPr>
        <w:t>2</w:t>
      </w:r>
      <w:r>
        <w:rPr>
          <w:rFonts w:hint="eastAsia" w:ascii="方正仿宋_GBK" w:hAnsi="方正仿宋_GBK" w:eastAsia="方正仿宋_GBK" w:cs="方正仿宋_GBK"/>
          <w:b w:val="0"/>
          <w:spacing w:val="-2"/>
          <w:kern w:val="2"/>
          <w:sz w:val="32"/>
          <w:szCs w:val="32"/>
          <w:lang w:val="en-US" w:eastAsia="zh-CN" w:bidi="ar-SA"/>
        </w:rPr>
        <w:t>件</w:t>
      </w:r>
      <w:r>
        <w:rPr>
          <w:rFonts w:hint="eastAsia" w:ascii="方正仿宋_GBK" w:hAnsi="方正仿宋_GBK" w:cs="方正仿宋_GBK"/>
          <w:b w:val="0"/>
          <w:spacing w:val="-2"/>
          <w:kern w:val="2"/>
          <w:sz w:val="32"/>
          <w:szCs w:val="32"/>
          <w:lang w:val="en-US" w:eastAsia="zh-CN" w:bidi="ar-SA"/>
        </w:rPr>
        <w:t>，</w:t>
      </w:r>
      <w:r>
        <w:rPr>
          <w:rFonts w:hint="eastAsia" w:ascii="方正仿宋_GBK" w:hAnsi="方正仿宋_GBK" w:eastAsia="方正仿宋_GBK" w:cs="方正仿宋_GBK"/>
          <w:b w:val="0"/>
          <w:spacing w:val="-2"/>
          <w:kern w:val="2"/>
          <w:sz w:val="32"/>
          <w:szCs w:val="32"/>
          <w:lang w:val="en-US" w:eastAsia="zh-CN" w:bidi="ar-SA"/>
        </w:rPr>
        <w:t>下访咨询</w:t>
      </w:r>
      <w:r>
        <w:rPr>
          <w:rFonts w:hint="eastAsia" w:ascii="方正仿宋_GBK" w:hAnsi="方正仿宋_GBK" w:cs="方正仿宋_GBK"/>
          <w:b w:val="0"/>
          <w:spacing w:val="-2"/>
          <w:kern w:val="2"/>
          <w:sz w:val="32"/>
          <w:szCs w:val="32"/>
          <w:lang w:val="en-US" w:eastAsia="zh-CN" w:bidi="ar-SA"/>
        </w:rPr>
        <w:t>8</w:t>
      </w:r>
      <w:r>
        <w:rPr>
          <w:rFonts w:hint="eastAsia" w:ascii="方正仿宋_GBK" w:hAnsi="方正仿宋_GBK" w:eastAsia="方正仿宋_GBK" w:cs="方正仿宋_GBK"/>
          <w:b w:val="0"/>
          <w:spacing w:val="-2"/>
          <w:kern w:val="2"/>
          <w:sz w:val="32"/>
          <w:szCs w:val="32"/>
          <w:lang w:val="en-US" w:eastAsia="zh-CN" w:bidi="ar-SA"/>
        </w:rPr>
        <w:t>件</w:t>
      </w:r>
      <w:r>
        <w:rPr>
          <w:rFonts w:hint="eastAsia" w:ascii="方正仿宋_GBK" w:hAnsi="方正仿宋_GBK" w:cs="方正仿宋_GBK"/>
          <w:b w:val="0"/>
          <w:spacing w:val="-2"/>
          <w:kern w:val="2"/>
          <w:sz w:val="32"/>
          <w:szCs w:val="32"/>
          <w:lang w:val="en-US" w:eastAsia="zh-CN" w:bidi="ar-SA"/>
        </w:rPr>
        <w:t>，</w:t>
      </w:r>
      <w:r>
        <w:rPr>
          <w:rFonts w:hint="eastAsia" w:ascii="方正仿宋_GBK" w:hAnsi="方正仿宋_GBK" w:eastAsia="方正仿宋_GBK" w:cs="方正仿宋_GBK"/>
          <w:b w:val="0"/>
          <w:spacing w:val="-2"/>
          <w:kern w:val="2"/>
          <w:sz w:val="32"/>
          <w:szCs w:val="32"/>
          <w:lang w:val="en-US" w:eastAsia="zh-CN" w:bidi="ar-SA"/>
        </w:rPr>
        <w:t>下访求决</w:t>
      </w:r>
      <w:r>
        <w:rPr>
          <w:rFonts w:hint="eastAsia" w:ascii="方正仿宋_GBK" w:hAnsi="方正仿宋_GBK" w:cs="方正仿宋_GBK"/>
          <w:b w:val="0"/>
          <w:spacing w:val="-2"/>
          <w:kern w:val="2"/>
          <w:sz w:val="32"/>
          <w:szCs w:val="32"/>
          <w:lang w:val="en-US" w:eastAsia="zh-CN" w:bidi="ar-SA"/>
        </w:rPr>
        <w:t>4</w:t>
      </w:r>
      <w:r>
        <w:rPr>
          <w:rFonts w:hint="eastAsia" w:ascii="方正仿宋_GBK" w:hAnsi="方正仿宋_GBK" w:eastAsia="方正仿宋_GBK" w:cs="方正仿宋_GBK"/>
          <w:b w:val="0"/>
          <w:spacing w:val="-2"/>
          <w:kern w:val="2"/>
          <w:sz w:val="32"/>
          <w:szCs w:val="32"/>
          <w:lang w:val="en-US" w:eastAsia="zh-CN" w:bidi="ar-SA"/>
        </w:rPr>
        <w:t>件</w:t>
      </w:r>
      <w:r>
        <w:rPr>
          <w:rFonts w:hint="eastAsia" w:ascii="方正仿宋_GBK" w:hAnsi="方正仿宋_GBK" w:cs="方正仿宋_GBK"/>
          <w:b w:val="0"/>
          <w:spacing w:val="-2"/>
          <w:kern w:val="2"/>
          <w:sz w:val="32"/>
          <w:szCs w:val="32"/>
          <w:lang w:val="en-US" w:eastAsia="zh-CN" w:bidi="ar-SA"/>
        </w:rPr>
        <w:t>，</w:t>
      </w:r>
      <w:r>
        <w:rPr>
          <w:rFonts w:hint="eastAsia" w:ascii="方正仿宋_GBK" w:hAnsi="方正仿宋_GBK" w:eastAsia="方正仿宋_GBK" w:cs="方正仿宋_GBK"/>
          <w:b w:val="0"/>
          <w:spacing w:val="-2"/>
          <w:kern w:val="2"/>
          <w:sz w:val="32"/>
          <w:szCs w:val="32"/>
          <w:lang w:val="en-US" w:eastAsia="zh-CN" w:bidi="ar-SA"/>
        </w:rPr>
        <w:t>来访咨询</w:t>
      </w:r>
      <w:r>
        <w:rPr>
          <w:rFonts w:hint="eastAsia" w:ascii="方正仿宋_GBK" w:hAnsi="方正仿宋_GBK" w:cs="方正仿宋_GBK"/>
          <w:b w:val="0"/>
          <w:spacing w:val="-2"/>
          <w:kern w:val="2"/>
          <w:sz w:val="32"/>
          <w:szCs w:val="32"/>
          <w:lang w:val="en-US" w:eastAsia="zh-CN" w:bidi="ar-SA"/>
        </w:rPr>
        <w:t>43</w:t>
      </w:r>
      <w:r>
        <w:rPr>
          <w:rFonts w:hint="eastAsia" w:ascii="方正仿宋_GBK" w:hAnsi="方正仿宋_GBK" w:eastAsia="方正仿宋_GBK" w:cs="方正仿宋_GBK"/>
          <w:b w:val="0"/>
          <w:spacing w:val="-2"/>
          <w:kern w:val="2"/>
          <w:sz w:val="32"/>
          <w:szCs w:val="32"/>
          <w:lang w:val="en-US" w:eastAsia="zh-CN" w:bidi="ar-SA"/>
        </w:rPr>
        <w:t>件</w:t>
      </w:r>
      <w:r>
        <w:rPr>
          <w:rFonts w:hint="eastAsia" w:ascii="方正仿宋_GBK" w:hAnsi="方正仿宋_GBK" w:cs="方正仿宋_GBK"/>
          <w:b w:val="0"/>
          <w:spacing w:val="-2"/>
          <w:kern w:val="2"/>
          <w:sz w:val="32"/>
          <w:szCs w:val="32"/>
          <w:lang w:val="en-US" w:eastAsia="zh-CN" w:bidi="ar-SA"/>
        </w:rPr>
        <w:t>，</w:t>
      </w:r>
      <w:r>
        <w:rPr>
          <w:rFonts w:hint="eastAsia" w:ascii="方正仿宋_GBK" w:hAnsi="方正仿宋_GBK" w:eastAsia="方正仿宋_GBK" w:cs="方正仿宋_GBK"/>
          <w:b w:val="0"/>
          <w:spacing w:val="-2"/>
          <w:kern w:val="2"/>
          <w:sz w:val="32"/>
          <w:szCs w:val="32"/>
          <w:lang w:val="en-US" w:eastAsia="zh-CN" w:bidi="ar-SA"/>
        </w:rPr>
        <w:t>来访求决</w:t>
      </w:r>
      <w:r>
        <w:rPr>
          <w:rFonts w:hint="eastAsia" w:ascii="方正仿宋_GBK" w:hAnsi="方正仿宋_GBK" w:cs="方正仿宋_GBK"/>
          <w:b w:val="0"/>
          <w:spacing w:val="-2"/>
          <w:kern w:val="2"/>
          <w:sz w:val="32"/>
          <w:szCs w:val="32"/>
          <w:lang w:val="en-US" w:eastAsia="zh-CN" w:bidi="ar-SA"/>
        </w:rPr>
        <w:t>31</w:t>
      </w:r>
      <w:r>
        <w:rPr>
          <w:rFonts w:hint="eastAsia" w:ascii="方正仿宋_GBK" w:hAnsi="方正仿宋_GBK" w:eastAsia="方正仿宋_GBK" w:cs="方正仿宋_GBK"/>
          <w:b w:val="0"/>
          <w:spacing w:val="-2"/>
          <w:kern w:val="2"/>
          <w:sz w:val="32"/>
          <w:szCs w:val="32"/>
          <w:lang w:val="en-US" w:eastAsia="zh-CN" w:bidi="ar-SA"/>
        </w:rPr>
        <w:t>件</w:t>
      </w:r>
      <w:r>
        <w:rPr>
          <w:rFonts w:hint="eastAsia" w:ascii="方正仿宋_GBK" w:hAnsi="方正仿宋_GBK" w:cs="方正仿宋_GBK"/>
          <w:b w:val="0"/>
          <w:spacing w:val="-2"/>
          <w:kern w:val="2"/>
          <w:sz w:val="32"/>
          <w:szCs w:val="32"/>
          <w:lang w:val="en-US" w:eastAsia="zh-CN" w:bidi="ar-SA"/>
        </w:rPr>
        <w:t>，</w:t>
      </w:r>
      <w:r>
        <w:rPr>
          <w:rFonts w:hint="eastAsia" w:ascii="方正仿宋_GBK" w:hAnsi="方正仿宋_GBK" w:eastAsia="方正仿宋_GBK" w:cs="方正仿宋_GBK"/>
          <w:b w:val="0"/>
          <w:spacing w:val="-2"/>
          <w:kern w:val="2"/>
          <w:sz w:val="32"/>
          <w:szCs w:val="32"/>
          <w:lang w:val="en-US" w:eastAsia="zh-CN" w:bidi="ar-SA"/>
        </w:rPr>
        <w:t>帮助群众代理信访4件</w:t>
      </w:r>
      <w:r>
        <w:rPr>
          <w:rFonts w:hint="eastAsia" w:ascii="方正仿宋_GBK" w:hAnsi="方正仿宋_GBK" w:cs="方正仿宋_GBK"/>
          <w:b w:val="0"/>
          <w:spacing w:val="-2"/>
          <w:kern w:val="2"/>
          <w:sz w:val="32"/>
          <w:szCs w:val="32"/>
          <w:lang w:val="en-US" w:eastAsia="zh-CN" w:bidi="ar-SA"/>
        </w:rPr>
        <w:t>，办理网上投诉8件，</w:t>
      </w:r>
      <w:r>
        <w:rPr>
          <w:rFonts w:hint="eastAsia" w:ascii="方正仿宋_GBK" w:hAnsi="方正仿宋_GBK" w:eastAsia="方正仿宋_GBK" w:cs="方正仿宋_GBK"/>
          <w:b w:val="0"/>
          <w:spacing w:val="-2"/>
          <w:kern w:val="2"/>
          <w:sz w:val="32"/>
          <w:szCs w:val="32"/>
          <w:lang w:val="en-US" w:eastAsia="zh-CN" w:bidi="ar-SA"/>
        </w:rPr>
        <w:t>接待来访群众</w:t>
      </w:r>
      <w:r>
        <w:rPr>
          <w:rFonts w:hint="eastAsia" w:ascii="方正仿宋_GBK" w:hAnsi="方正仿宋_GBK" w:cs="方正仿宋_GBK"/>
          <w:b w:val="0"/>
          <w:spacing w:val="-2"/>
          <w:kern w:val="2"/>
          <w:sz w:val="32"/>
          <w:szCs w:val="32"/>
          <w:lang w:val="en-US" w:eastAsia="zh-CN" w:bidi="ar-SA"/>
        </w:rPr>
        <w:t>412</w:t>
      </w:r>
      <w:r>
        <w:rPr>
          <w:rFonts w:hint="eastAsia" w:ascii="方正仿宋_GBK" w:hAnsi="方正仿宋_GBK" w:eastAsia="方正仿宋_GBK" w:cs="方正仿宋_GBK"/>
          <w:b w:val="0"/>
          <w:spacing w:val="-2"/>
          <w:kern w:val="2"/>
          <w:sz w:val="32"/>
          <w:szCs w:val="32"/>
          <w:lang w:val="en-US" w:eastAsia="zh-CN" w:bidi="ar-SA"/>
        </w:rPr>
        <w:t>人次，信访办结率100%。未发生一起非访、集访和越级上访，切实做到了件件有着落，事事有回音，维护了人民群众的切身利益和社会的和谐稳定。</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Autospacing="0" w:line="580" w:lineRule="exact"/>
        <w:ind w:right="0" w:rightChars="0" w:firstLine="640" w:firstLineChars="200"/>
        <w:jc w:val="both"/>
        <w:textAlignment w:val="auto"/>
        <w:rPr>
          <w:rFonts w:ascii="方正黑体_GBK" w:hAnsi="Times New Roman" w:eastAsia="方正黑体_GBK" w:cs="Times New Roman"/>
          <w:sz w:val="32"/>
          <w:szCs w:val="32"/>
        </w:rPr>
      </w:pPr>
      <w:r>
        <w:rPr>
          <w:rFonts w:hint="eastAsia" w:ascii="方正黑体_GBK" w:hAnsi="Times New Roman" w:eastAsia="方正黑体_GBK" w:cs="Times New Roman"/>
          <w:sz w:val="32"/>
          <w:szCs w:val="32"/>
        </w:rPr>
        <w:t>二、主要负责人履行推进法治建设第一责任人职责</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line="580" w:lineRule="exact"/>
        <w:ind w:firstLine="640" w:firstLineChars="200"/>
        <w:jc w:val="both"/>
        <w:textAlignment w:val="auto"/>
        <w:outlineLvl w:val="9"/>
        <w:rPr>
          <w:rFonts w:hint="eastAsia" w:ascii="方正仿宋_GBK" w:hAnsi="方正仿宋_GBK" w:eastAsia="方正仿宋_GBK" w:cs="方正仿宋_GBK"/>
          <w:color w:val="FF0000"/>
          <w:sz w:val="32"/>
          <w:szCs w:val="32"/>
          <w:lang w:eastAsia="zh-CN"/>
        </w:rPr>
      </w:pPr>
      <w:r>
        <w:rPr>
          <w:rFonts w:hint="eastAsia" w:ascii="方正仿宋_GBK" w:hAnsi="方正仿宋_GBK" w:eastAsia="方正仿宋_GBK" w:cs="方正仿宋_GBK"/>
          <w:sz w:val="32"/>
          <w:szCs w:val="32"/>
          <w:lang w:val="en-US" w:eastAsia="zh-CN"/>
        </w:rPr>
        <w:t>一是高度重视，严格履职。坚持以习近平新时代中国特色社会主义思想为指导，深入学习贯彻习近平法治思想，按照《党政主要负责人履行推进法治建设第一责任人职责规定》的要求，主要负责人严格履职，印发《贯彻落实全面依法治区工作方案》，建立党委统一领导、相关科室落实责任机制，各司其职，逐项落实。二是深入研究，亲自部署。认真分析研究《大足区2021年法治政府建设工作要点》，分解工作任务，落实具体措施，并将法治政府建设纳入全年工作计划，成立“三项制度”、“普法依法治理”等领导小组，</w:t>
      </w:r>
      <w:r>
        <w:rPr>
          <w:rFonts w:hint="eastAsia" w:ascii="方正仿宋_GBK" w:hAnsi="方正仿宋_GBK" w:eastAsia="方正仿宋_GBK" w:cs="方正仿宋_GBK"/>
          <w:sz w:val="32"/>
          <w:szCs w:val="32"/>
          <w:lang w:eastAsia="zh-CN"/>
        </w:rPr>
        <w:t>局班子定期召开会议听取推进法治政府建设工作情况汇报，专题研究有关重大问题，及时提出相关工作措施，</w:t>
      </w:r>
      <w:r>
        <w:rPr>
          <w:rFonts w:hint="eastAsia" w:ascii="方正仿宋_GBK" w:hAnsi="方正仿宋_GBK" w:eastAsia="方正仿宋_GBK" w:cs="方正仿宋_GBK"/>
          <w:sz w:val="32"/>
          <w:szCs w:val="32"/>
          <w:lang w:val="en-US" w:eastAsia="zh-CN"/>
        </w:rPr>
        <w:t>把法治政府相关工作摆在重要位置。三是率先垂范，带头学法。严格履行组织者、推动者、实践者的职责，推动全局尊法守法学法用法。</w:t>
      </w:r>
      <w:r>
        <w:rPr>
          <w:rFonts w:hint="eastAsia" w:ascii="方正仿宋_GBK" w:hAnsi="方正仿宋_GBK" w:eastAsia="方正仿宋_GBK" w:cs="方正仿宋_GBK"/>
          <w:color w:val="000000"/>
          <w:sz w:val="32"/>
          <w:szCs w:val="32"/>
        </w:rPr>
        <w:t>注重抓好自身和队伍的法律法规以及业务知识的学习</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rPr>
        <w:t>努力提高自身素质和队伍的执法水平</w:t>
      </w:r>
      <w:r>
        <w:rPr>
          <w:rFonts w:hint="eastAsia" w:ascii="方正仿宋_GBK" w:hAnsi="方正仿宋_GBK" w:eastAsia="方正仿宋_GBK" w:cs="方正仿宋_GBK"/>
          <w:color w:val="000000"/>
          <w:sz w:val="32"/>
          <w:szCs w:val="32"/>
          <w:lang w:eastAsia="zh-CN"/>
        </w:rPr>
        <w:t>，并</w:t>
      </w:r>
      <w:r>
        <w:rPr>
          <w:rFonts w:hint="eastAsia" w:ascii="方正仿宋_GBK" w:hAnsi="方正仿宋_GBK" w:eastAsia="方正仿宋_GBK" w:cs="方正仿宋_GBK"/>
          <w:sz w:val="32"/>
          <w:szCs w:val="32"/>
          <w:lang w:eastAsia="zh-CN"/>
        </w:rPr>
        <w:t>督促其他领导班子成员依法办事。今年以来，在党支部学习会、干部职工大会上组织学习习近平法治思想、法治政府相关会议精神、安全生产相关法律法规</w:t>
      </w:r>
      <w:r>
        <w:rPr>
          <w:rFonts w:hint="eastAsia" w:ascii="方正仿宋_GBK" w:hAnsi="方正仿宋_GBK" w:eastAsia="方正仿宋_GBK" w:cs="方正仿宋_GBK"/>
          <w:sz w:val="32"/>
          <w:szCs w:val="32"/>
          <w:lang w:val="en-US" w:eastAsia="zh-CN"/>
        </w:rPr>
        <w:t>8次</w:t>
      </w:r>
      <w:r>
        <w:rPr>
          <w:rFonts w:hint="eastAsia" w:ascii="方正仿宋_GBK" w:hAnsi="方正仿宋_GBK" w:eastAsia="方正仿宋_GBK" w:cs="方正仿宋_GBK"/>
          <w:sz w:val="32"/>
          <w:szCs w:val="32"/>
          <w:lang w:eastAsia="zh-CN"/>
        </w:rPr>
        <w:t>，局机关领导干部法治观念显著提升</w:t>
      </w:r>
      <w:r>
        <w:rPr>
          <w:rFonts w:hint="eastAsia" w:ascii="方正仿宋_GBK" w:hAnsi="方正仿宋_GBK" w:eastAsia="方正仿宋_GBK" w:cs="方正仿宋_GBK"/>
          <w:color w:val="auto"/>
          <w:sz w:val="32"/>
          <w:szCs w:val="32"/>
          <w:u w:val="none"/>
          <w:lang w:eastAsia="zh-CN"/>
        </w:rPr>
        <w:t>。</w:t>
      </w:r>
    </w:p>
    <w:p>
      <w:pPr>
        <w:keepNext w:val="0"/>
        <w:keepLines w:val="0"/>
        <w:pageBreakBefore w:val="0"/>
        <w:kinsoku/>
        <w:wordWrap/>
        <w:overflowPunct/>
        <w:topLinePunct w:val="0"/>
        <w:bidi w:val="0"/>
        <w:spacing w:line="580" w:lineRule="exact"/>
        <w:ind w:firstLine="640" w:firstLineChars="200"/>
        <w:textAlignment w:val="auto"/>
        <w:rPr>
          <w:rFonts w:ascii="方正黑体_GBK" w:hAnsi="Times New Roman" w:eastAsia="方正黑体_GBK" w:cs="Times New Roman"/>
          <w:szCs w:val="32"/>
        </w:rPr>
      </w:pPr>
      <w:r>
        <w:rPr>
          <w:rFonts w:hint="eastAsia" w:ascii="方正黑体_GBK" w:hAnsi="Times New Roman" w:eastAsia="方正黑体_GBK" w:cs="Times New Roman"/>
          <w:szCs w:val="32"/>
        </w:rPr>
        <w:t>三、存在的问题和下一步打算</w:t>
      </w:r>
    </w:p>
    <w:p>
      <w:pPr>
        <w:keepNext w:val="0"/>
        <w:keepLines w:val="0"/>
        <w:pageBreakBefore w:val="0"/>
        <w:widowControl w:val="0"/>
        <w:kinsoku/>
        <w:wordWrap/>
        <w:overflowPunct/>
        <w:topLinePunct w:val="0"/>
        <w:autoSpaceDE w:val="0"/>
        <w:autoSpaceDN w:val="0"/>
        <w:bidi w:val="0"/>
        <w:adjustRightInd w:val="0"/>
        <w:snapToGrid w:val="0"/>
        <w:spacing w:line="580" w:lineRule="exact"/>
        <w:ind w:firstLine="632" w:firstLineChars="200"/>
        <w:jc w:val="both"/>
        <w:textAlignment w:val="auto"/>
        <w:outlineLvl w:val="9"/>
        <w:rPr>
          <w:rFonts w:hint="eastAsia" w:ascii="方正楷体_GBK" w:hAnsi="方正楷体_GBK" w:eastAsia="方正楷体_GBK" w:cs="方正楷体_GBK"/>
          <w:b w:val="0"/>
          <w:spacing w:val="-2"/>
          <w:kern w:val="2"/>
          <w:sz w:val="32"/>
          <w:szCs w:val="32"/>
          <w:lang w:val="en-US" w:eastAsia="zh-CN" w:bidi="ar-SA"/>
        </w:rPr>
      </w:pPr>
      <w:r>
        <w:rPr>
          <w:rFonts w:hint="eastAsia" w:ascii="方正仿宋_GBK" w:hAnsi="方正仿宋_GBK" w:eastAsia="方正仿宋_GBK" w:cs="方正仿宋_GBK"/>
          <w:b w:val="0"/>
          <w:spacing w:val="-2"/>
          <w:kern w:val="2"/>
          <w:sz w:val="32"/>
          <w:szCs w:val="32"/>
          <w:lang w:val="en-US" w:eastAsia="zh-CN" w:bidi="ar-SA"/>
        </w:rPr>
        <w:t>存在的问题主要是群众法律意识还不够强</w:t>
      </w:r>
      <w:r>
        <w:rPr>
          <w:rFonts w:hint="eastAsia" w:ascii="方正仿宋_GBK" w:hAnsi="方正仿宋_GBK" w:cs="方正仿宋_GBK"/>
          <w:b w:val="0"/>
          <w:spacing w:val="-2"/>
          <w:kern w:val="2"/>
          <w:sz w:val="32"/>
          <w:szCs w:val="32"/>
          <w:lang w:val="en-US" w:eastAsia="zh-CN" w:bidi="ar-SA"/>
        </w:rPr>
        <w:t>，</w:t>
      </w:r>
      <w:r>
        <w:rPr>
          <w:rFonts w:hint="eastAsia" w:ascii="方正仿宋_GBK" w:hAnsi="方正仿宋_GBK" w:eastAsia="方正仿宋_GBK" w:cs="方正仿宋_GBK"/>
          <w:b w:val="0"/>
          <w:spacing w:val="-2"/>
          <w:kern w:val="2"/>
          <w:sz w:val="32"/>
          <w:szCs w:val="32"/>
          <w:lang w:val="en-US" w:eastAsia="zh-CN" w:bidi="ar-SA"/>
        </w:rPr>
        <w:t>执法人员的依法行政能力还有待提高。</w:t>
      </w:r>
      <w:r>
        <w:rPr>
          <w:rFonts w:hint="eastAsia" w:ascii="方正仿宋_GBK" w:hAnsi="方正仿宋_GBK" w:cs="方正仿宋_GBK"/>
          <w:b w:val="0"/>
          <w:spacing w:val="-2"/>
          <w:kern w:val="2"/>
          <w:sz w:val="32"/>
          <w:szCs w:val="32"/>
          <w:lang w:val="en-US" w:eastAsia="zh-CN" w:bidi="ar-SA"/>
        </w:rPr>
        <w:t>针对以上问题，我局将继续坚持以习近平新时代中国特色社会主义思想为指导，深学笃用习近平法治思想，深入贯彻党的十九大和十九届二中、三中、四中、五中、六中全会精神及中央全面依法治国、市委全面依法治市、区委全面依法治区工作会议精神，坚持在法治轨道上推进法治政府建设。</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line="580" w:lineRule="exact"/>
        <w:ind w:firstLine="632" w:firstLineChars="200"/>
        <w:jc w:val="both"/>
        <w:textAlignment w:val="auto"/>
        <w:outlineLvl w:val="9"/>
        <w:rPr>
          <w:rFonts w:hint="eastAsia" w:ascii="方正楷体_GBK" w:hAnsi="方正楷体_GBK" w:eastAsia="方正楷体_GBK" w:cs="方正楷体_GBK"/>
          <w:b w:val="0"/>
          <w:spacing w:val="-2"/>
          <w:kern w:val="2"/>
          <w:sz w:val="32"/>
          <w:szCs w:val="32"/>
          <w:lang w:val="en-US" w:eastAsia="zh-CN" w:bidi="ar-SA"/>
        </w:rPr>
      </w:pPr>
      <w:r>
        <w:rPr>
          <w:rFonts w:hint="eastAsia" w:ascii="方正楷体_GBK" w:hAnsi="方正楷体_GBK" w:eastAsia="方正楷体_GBK" w:cs="方正楷体_GBK"/>
          <w:b w:val="0"/>
          <w:spacing w:val="-2"/>
          <w:kern w:val="2"/>
          <w:sz w:val="32"/>
          <w:szCs w:val="32"/>
          <w:lang w:val="en-US" w:eastAsia="zh-CN" w:bidi="ar-SA"/>
        </w:rPr>
        <w:t>（一）重源头，抓落实，提高依法行政能力</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line="580" w:lineRule="exact"/>
        <w:ind w:firstLine="624"/>
        <w:jc w:val="both"/>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深入学习贯彻落实习近平法治思想，加强对</w:t>
      </w:r>
      <w:r>
        <w:rPr>
          <w:rFonts w:hint="eastAsia" w:ascii="方正仿宋_GBK" w:hAnsi="方正仿宋_GBK" w:eastAsia="方正仿宋_GBK" w:cs="方正仿宋_GBK"/>
          <w:sz w:val="32"/>
          <w:szCs w:val="32"/>
          <w:lang w:eastAsia="zh-CN"/>
        </w:rPr>
        <w:t>中央全面依法治国委员会会议精神以及市委全面依法治市、区委依法治区会议精神的学习和宣贯，</w:t>
      </w:r>
      <w:r>
        <w:rPr>
          <w:rFonts w:hint="eastAsia" w:ascii="方正仿宋_GBK" w:hAnsi="方正仿宋_GBK" w:eastAsia="方正仿宋_GBK" w:cs="方正仿宋_GBK"/>
          <w:sz w:val="32"/>
          <w:szCs w:val="32"/>
          <w:lang w:val="en-US" w:eastAsia="zh-CN"/>
        </w:rPr>
        <w:t>继续严格执行行政执法三项制度，规范行政执法人员公正文明执法，注重源头把关。</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line="580" w:lineRule="exact"/>
        <w:ind w:firstLine="632" w:firstLineChars="200"/>
        <w:jc w:val="both"/>
        <w:textAlignment w:val="auto"/>
        <w:outlineLvl w:val="9"/>
        <w:rPr>
          <w:rFonts w:hint="eastAsia" w:ascii="方正楷体_GBK" w:hAnsi="方正楷体_GBK" w:eastAsia="方正楷体_GBK" w:cs="方正楷体_GBK"/>
          <w:b w:val="0"/>
          <w:spacing w:val="-2"/>
          <w:kern w:val="2"/>
          <w:sz w:val="32"/>
          <w:szCs w:val="32"/>
          <w:lang w:val="en-US" w:eastAsia="zh-CN" w:bidi="ar-SA"/>
        </w:rPr>
      </w:pPr>
      <w:r>
        <w:rPr>
          <w:rFonts w:hint="eastAsia" w:ascii="方正楷体_GBK" w:hAnsi="方正楷体_GBK" w:eastAsia="方正楷体_GBK" w:cs="方正楷体_GBK"/>
          <w:b w:val="0"/>
          <w:spacing w:val="-2"/>
          <w:kern w:val="2"/>
          <w:sz w:val="32"/>
          <w:szCs w:val="32"/>
          <w:lang w:val="en-US" w:eastAsia="zh-CN" w:bidi="ar-SA"/>
        </w:rPr>
        <w:t>（二）强培训，增能力，加强法治队伍建设</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line="580" w:lineRule="exact"/>
        <w:ind w:firstLine="640" w:firstLineChars="200"/>
        <w:jc w:val="both"/>
        <w:textAlignment w:val="auto"/>
        <w:outlineLvl w:val="9"/>
        <w:rPr>
          <w:rFonts w:hint="eastAsia" w:ascii="方正楷体_GBK" w:hAnsi="方正楷体_GBK" w:eastAsia="方正楷体_GBK" w:cs="方正楷体_GBK"/>
          <w:b w:val="0"/>
          <w:spacing w:val="-2"/>
          <w:kern w:val="2"/>
          <w:sz w:val="32"/>
          <w:szCs w:val="32"/>
          <w:lang w:val="en-US" w:eastAsia="zh-CN" w:bidi="ar-SA"/>
        </w:rPr>
      </w:pPr>
      <w:r>
        <w:rPr>
          <w:rFonts w:hint="eastAsia" w:ascii="方正仿宋_GBK" w:hAnsi="方正仿宋_GBK" w:eastAsia="方正仿宋_GBK" w:cs="方正仿宋_GBK"/>
          <w:sz w:val="32"/>
          <w:szCs w:val="32"/>
          <w:lang w:val="en-US" w:eastAsia="zh-CN"/>
        </w:rPr>
        <w:t>每年开展1次全区安全生产与自然灾害防治行政执法人员（包括委托执法人员）法治、业务能力培训，邀请本系统专家、教授等进行授课，着重执法程序</w:t>
      </w:r>
      <w:r>
        <w:rPr>
          <w:rFonts w:hint="eastAsia" w:ascii="方正仿宋_GBK" w:hAnsi="方正仿宋_GBK" w:cs="方正仿宋_GBK"/>
          <w:sz w:val="32"/>
          <w:szCs w:val="32"/>
          <w:lang w:val="en-US" w:eastAsia="zh-CN"/>
        </w:rPr>
        <w:t>合法</w:t>
      </w:r>
      <w:r>
        <w:rPr>
          <w:rFonts w:hint="eastAsia" w:ascii="方正仿宋_GBK" w:hAnsi="方正仿宋_GBK" w:eastAsia="方正仿宋_GBK" w:cs="方正仿宋_GBK"/>
          <w:sz w:val="32"/>
          <w:szCs w:val="32"/>
          <w:lang w:val="en-US" w:eastAsia="zh-CN"/>
        </w:rPr>
        <w:t>、</w:t>
      </w:r>
      <w:r>
        <w:rPr>
          <w:rFonts w:hint="eastAsia" w:ascii="方正仿宋_GBK" w:hAnsi="方正仿宋_GBK" w:cs="方正仿宋_GBK"/>
          <w:sz w:val="32"/>
          <w:szCs w:val="32"/>
          <w:lang w:val="en-US" w:eastAsia="zh-CN"/>
        </w:rPr>
        <w:t>执法文书规范、</w:t>
      </w:r>
      <w:r>
        <w:rPr>
          <w:rFonts w:hint="eastAsia" w:ascii="方正仿宋_GBK" w:hAnsi="方正仿宋_GBK" w:eastAsia="方正仿宋_GBK" w:cs="方正仿宋_GBK"/>
          <w:sz w:val="32"/>
          <w:szCs w:val="32"/>
          <w:lang w:val="en-US" w:eastAsia="zh-CN"/>
        </w:rPr>
        <w:t>法律条款适用、自由裁量</w:t>
      </w:r>
      <w:r>
        <w:rPr>
          <w:rFonts w:hint="eastAsia" w:ascii="方正仿宋_GBK" w:hAnsi="方正仿宋_GBK" w:cs="方正仿宋_GBK"/>
          <w:sz w:val="32"/>
          <w:szCs w:val="32"/>
          <w:lang w:val="en-US" w:eastAsia="zh-CN"/>
        </w:rPr>
        <w:t>基准</w:t>
      </w:r>
      <w:r>
        <w:rPr>
          <w:rFonts w:hint="eastAsia" w:ascii="方正仿宋_GBK" w:hAnsi="方正仿宋_GBK" w:eastAsia="方正仿宋_GBK" w:cs="方正仿宋_GBK"/>
          <w:sz w:val="32"/>
          <w:szCs w:val="32"/>
          <w:lang w:val="en-US" w:eastAsia="zh-CN"/>
        </w:rPr>
        <w:t>等</w:t>
      </w:r>
      <w:r>
        <w:rPr>
          <w:rFonts w:hint="eastAsia" w:ascii="方正仿宋_GBK" w:hAnsi="方正仿宋_GBK" w:cs="方正仿宋_GBK"/>
          <w:sz w:val="32"/>
          <w:szCs w:val="32"/>
          <w:lang w:val="en-US" w:eastAsia="zh-CN"/>
        </w:rPr>
        <w:t>业务</w:t>
      </w:r>
      <w:r>
        <w:rPr>
          <w:rFonts w:hint="eastAsia" w:ascii="方正仿宋_GBK" w:hAnsi="方正仿宋_GBK" w:eastAsia="方正仿宋_GBK" w:cs="方正仿宋_GBK"/>
          <w:sz w:val="32"/>
          <w:szCs w:val="32"/>
          <w:lang w:val="en-US" w:eastAsia="zh-CN"/>
        </w:rPr>
        <w:t>培训，提升执法人员的专业水平。</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line="580" w:lineRule="exact"/>
        <w:ind w:firstLine="632" w:firstLineChars="200"/>
        <w:jc w:val="both"/>
        <w:textAlignment w:val="auto"/>
        <w:outlineLvl w:val="9"/>
        <w:rPr>
          <w:rFonts w:hint="eastAsia" w:ascii="方正楷体_GBK" w:hAnsi="方正楷体_GBK" w:eastAsia="方正楷体_GBK" w:cs="方正楷体_GBK"/>
          <w:b w:val="0"/>
          <w:spacing w:val="-2"/>
          <w:kern w:val="2"/>
          <w:sz w:val="32"/>
          <w:szCs w:val="32"/>
          <w:lang w:val="en-US" w:eastAsia="zh-CN" w:bidi="ar-SA"/>
        </w:rPr>
      </w:pPr>
      <w:r>
        <w:rPr>
          <w:rFonts w:hint="eastAsia" w:ascii="方正楷体_GBK" w:hAnsi="方正楷体_GBK" w:eastAsia="方正楷体_GBK" w:cs="方正楷体_GBK"/>
          <w:b w:val="0"/>
          <w:spacing w:val="-2"/>
          <w:kern w:val="2"/>
          <w:sz w:val="32"/>
          <w:szCs w:val="32"/>
          <w:lang w:val="en-US" w:eastAsia="zh-CN" w:bidi="ar-SA"/>
        </w:rPr>
        <w:t>（三）抓普法，造氛围，扩大惠企政策效应</w:t>
      </w:r>
    </w:p>
    <w:p>
      <w:pPr>
        <w:keepNext w:val="0"/>
        <w:keepLines w:val="0"/>
        <w:pageBreakBefore w:val="0"/>
        <w:kinsoku/>
        <w:wordWrap/>
        <w:overflowPunct/>
        <w:topLinePunct w:val="0"/>
        <w:bidi w:val="0"/>
        <w:spacing w:line="58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利用官网、公众号（大足</w:t>
      </w:r>
      <w:r>
        <w:rPr>
          <w:rFonts w:hint="eastAsia" w:ascii="方正仿宋_GBK" w:hAnsi="方正仿宋_GBK" w:cs="方正仿宋_GBK"/>
          <w:sz w:val="32"/>
          <w:szCs w:val="32"/>
          <w:lang w:val="en-US" w:eastAsia="zh-CN"/>
        </w:rPr>
        <w:t>应急</w:t>
      </w:r>
      <w:r>
        <w:rPr>
          <w:rFonts w:hint="eastAsia" w:ascii="方正仿宋_GBK" w:hAnsi="方正仿宋_GBK" w:eastAsia="方正仿宋_GBK" w:cs="方正仿宋_GBK"/>
          <w:sz w:val="32"/>
          <w:szCs w:val="32"/>
          <w:lang w:val="en-US" w:eastAsia="zh-CN"/>
        </w:rPr>
        <w:t>）、大足日报等媒体，及时发布和公开相关政策信息，面向企业、群众、乡镇等多个层次，以安全生产月、防</w:t>
      </w:r>
      <w:r>
        <w:rPr>
          <w:rFonts w:hint="eastAsia" w:ascii="方正仿宋_GBK" w:hAnsi="方正仿宋_GBK" w:cs="方正仿宋_GBK"/>
          <w:sz w:val="32"/>
          <w:szCs w:val="32"/>
          <w:lang w:val="en-US" w:eastAsia="zh-CN"/>
        </w:rPr>
        <w:t>灾</w:t>
      </w:r>
      <w:r>
        <w:rPr>
          <w:rFonts w:hint="eastAsia" w:ascii="方正仿宋_GBK" w:hAnsi="方正仿宋_GBK" w:eastAsia="方正仿宋_GBK" w:cs="方正仿宋_GBK"/>
          <w:sz w:val="32"/>
          <w:szCs w:val="32"/>
          <w:lang w:val="en-US" w:eastAsia="zh-CN"/>
        </w:rPr>
        <w:t>减灾日为重要节点，采取举办现场活动、竞赛活动等方式深入企业、深入群众加大法治宣传。</w:t>
      </w:r>
    </w:p>
    <w:p>
      <w:pPr>
        <w:pStyle w:val="3"/>
        <w:keepNext w:val="0"/>
        <w:keepLines w:val="0"/>
        <w:pageBreakBefore w:val="0"/>
        <w:kinsoku/>
        <w:wordWrap/>
        <w:overflowPunct/>
        <w:topLinePunct w:val="0"/>
        <w:bidi w:val="0"/>
        <w:spacing w:line="580" w:lineRule="exact"/>
        <w:textAlignment w:val="auto"/>
        <w:rPr>
          <w:rFonts w:hint="eastAsia"/>
          <w:lang w:val="en-US" w:eastAsia="zh-CN"/>
        </w:rPr>
      </w:pPr>
    </w:p>
    <w:p>
      <w:pPr>
        <w:pStyle w:val="3"/>
        <w:keepNext w:val="0"/>
        <w:keepLines w:val="0"/>
        <w:pageBreakBefore w:val="0"/>
        <w:kinsoku/>
        <w:wordWrap/>
        <w:overflowPunct/>
        <w:topLinePunct w:val="0"/>
        <w:bidi w:val="0"/>
        <w:spacing w:line="580" w:lineRule="exact"/>
        <w:textAlignment w:val="auto"/>
        <w:rPr>
          <w:rFonts w:hint="eastAsia" w:ascii="方正仿宋_GBK" w:hAnsi="方正仿宋_GBK" w:eastAsia="方正仿宋_GBK" w:cs="方正仿宋_GBK"/>
          <w:sz w:val="32"/>
          <w:szCs w:val="32"/>
          <w:lang w:val="en-US" w:eastAsia="zh-CN"/>
        </w:rPr>
      </w:pPr>
    </w:p>
    <w:p>
      <w:pPr>
        <w:keepNext w:val="0"/>
        <w:keepLines w:val="0"/>
        <w:pageBreakBefore w:val="0"/>
        <w:kinsoku/>
        <w:wordWrap/>
        <w:overflowPunct/>
        <w:topLinePunct w:val="0"/>
        <w:bidi w:val="0"/>
        <w:spacing w:line="580" w:lineRule="exact"/>
        <w:textAlignment w:val="auto"/>
      </w:pPr>
    </w:p>
    <w:p>
      <w:pPr>
        <w:keepNext w:val="0"/>
        <w:keepLines w:val="0"/>
        <w:pageBreakBefore w:val="0"/>
        <w:kinsoku/>
        <w:wordWrap/>
        <w:overflowPunct/>
        <w:topLinePunct w:val="0"/>
        <w:bidi w:val="0"/>
        <w:spacing w:line="580" w:lineRule="exact"/>
        <w:ind w:firstLine="3680" w:firstLineChars="1150"/>
        <w:textAlignment w:val="auto"/>
        <w:rPr>
          <w:rFonts w:hint="eastAsia" w:ascii="Times New Roman" w:hAnsi="Times New Roman" w:eastAsia="方正仿宋_GBK" w:cs="Times New Roman"/>
          <w:szCs w:val="32"/>
          <w:lang w:eastAsia="zh-CN"/>
        </w:rPr>
      </w:pPr>
      <w:r>
        <w:rPr>
          <w:rFonts w:hint="eastAsia" w:ascii="Times New Roman" w:hAnsi="Times New Roman" w:cs="Times New Roman"/>
          <w:szCs w:val="32"/>
        </w:rPr>
        <w:t>重庆市大足区</w:t>
      </w:r>
      <w:r>
        <w:rPr>
          <w:rFonts w:hint="eastAsia" w:ascii="Times New Roman" w:hAnsi="Times New Roman" w:cs="Times New Roman"/>
          <w:szCs w:val="32"/>
          <w:lang w:eastAsia="zh-CN"/>
        </w:rPr>
        <w:t>应急管理局</w:t>
      </w:r>
    </w:p>
    <w:p>
      <w:pPr>
        <w:keepNext w:val="0"/>
        <w:keepLines w:val="0"/>
        <w:pageBreakBefore w:val="0"/>
        <w:kinsoku/>
        <w:wordWrap/>
        <w:overflowPunct/>
        <w:topLinePunct w:val="0"/>
        <w:bidi w:val="0"/>
        <w:spacing w:line="580" w:lineRule="exact"/>
        <w:ind w:firstLine="4160" w:firstLineChars="1300"/>
        <w:textAlignment w:val="auto"/>
        <w:rPr>
          <w:rFonts w:ascii="Times New Roman" w:hAnsi="Times New Roman" w:cs="Times New Roman"/>
          <w:szCs w:val="32"/>
        </w:rPr>
      </w:pPr>
      <w:r>
        <w:rPr>
          <w:rFonts w:hint="eastAsia" w:ascii="Times New Roman" w:hAnsi="Times New Roman" w:cs="Times New Roman"/>
          <w:szCs w:val="32"/>
        </w:rPr>
        <w:t>2021年11月</w:t>
      </w:r>
      <w:r>
        <w:rPr>
          <w:rFonts w:hint="eastAsia" w:ascii="Times New Roman" w:hAnsi="Times New Roman" w:cs="Times New Roman"/>
          <w:szCs w:val="32"/>
          <w:lang w:val="en-US" w:eastAsia="zh-CN"/>
        </w:rPr>
        <w:t>29</w:t>
      </w:r>
      <w:r>
        <w:rPr>
          <w:rFonts w:hint="eastAsia" w:ascii="Times New Roman" w:hAnsi="Times New Roman" w:cs="Times New Roman"/>
          <w:szCs w:val="32"/>
        </w:rPr>
        <w:t>日</w:t>
      </w:r>
    </w:p>
    <w:p>
      <w:pPr>
        <w:keepNext w:val="0"/>
        <w:keepLines w:val="0"/>
        <w:pageBreakBefore w:val="0"/>
        <w:kinsoku/>
        <w:wordWrap/>
        <w:overflowPunct/>
        <w:topLinePunct w:val="0"/>
        <w:bidi w:val="0"/>
        <w:spacing w:line="580" w:lineRule="exact"/>
        <w:textAlignment w:val="auto"/>
      </w:pPr>
    </w:p>
    <w:sectPr>
      <w:footerReference r:id="rId3" w:type="default"/>
      <w:footerReference r:id="rId4" w:type="even"/>
      <w:pgSz w:w="11906" w:h="16838"/>
      <w:pgMar w:top="2098" w:right="1531" w:bottom="1984" w:left="1531" w:header="851" w:footer="1019" w:gutter="0"/>
      <w:cols w:space="0" w:num="1"/>
      <w:docGrid w:type="line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wiss"/>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posOffset>4542155</wp:posOffset>
              </wp:positionH>
              <wp:positionV relativeFrom="paragraph">
                <wp:posOffset>0</wp:posOffset>
              </wp:positionV>
              <wp:extent cx="1073785" cy="32639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073785" cy="326390"/>
                      </a:xfrm>
                      <a:prstGeom prst="rect">
                        <a:avLst/>
                      </a:prstGeom>
                      <a:noFill/>
                      <a:ln w="6350">
                        <a:noFill/>
                      </a:ln>
                      <a:effectLst/>
                    </wps:spPr>
                    <wps:txbx>
                      <w:txbxContent>
                        <w:p>
                          <w:pPr>
                            <w:pStyle w:val="5"/>
                            <w:ind w:right="320" w:rightChars="100"/>
                            <w:jc w:val="righ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ascii="Times New Roman" w:hAnsi="Times New Roman" w:cs="Times New Roman" w:eastAsiaTheme="minorEastAsia"/>
                              <w:sz w:val="28"/>
                              <w:szCs w:val="28"/>
                            </w:rPr>
                            <w:fldChar w:fldCharType="begin"/>
                          </w:r>
                          <w:r>
                            <w:rPr>
                              <w:rFonts w:ascii="Times New Roman" w:hAnsi="Times New Roman" w:cs="Times New Roman" w:eastAsiaTheme="minorEastAsia"/>
                              <w:sz w:val="28"/>
                              <w:szCs w:val="28"/>
                            </w:rPr>
                            <w:instrText xml:space="preserve"> PAGE  \* MERGEFORMAT </w:instrText>
                          </w:r>
                          <w:r>
                            <w:rPr>
                              <w:rFonts w:ascii="Times New Roman" w:hAnsi="Times New Roman" w:cs="Times New Roman" w:eastAsiaTheme="minorEastAsia"/>
                              <w:sz w:val="28"/>
                              <w:szCs w:val="28"/>
                            </w:rPr>
                            <w:fldChar w:fldCharType="separate"/>
                          </w:r>
                          <w:r>
                            <w:rPr>
                              <w:rFonts w:ascii="Times New Roman" w:hAnsi="Times New Roman" w:cs="Times New Roman" w:eastAsiaTheme="minorEastAsia"/>
                              <w:sz w:val="28"/>
                              <w:szCs w:val="28"/>
                            </w:rPr>
                            <w:t>5</w:t>
                          </w:r>
                          <w:r>
                            <w:rPr>
                              <w:rFonts w:ascii="Times New Roman" w:hAnsi="Times New Roman" w:cs="Times New Roman" w:eastAsia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357.65pt;margin-top:0pt;height:25.7pt;width:84.55pt;mso-position-horizontal-relative:margin;z-index:251659264;mso-width-relative:page;mso-height-relative:page;" filled="f" stroked="f" coordsize="21600,21600" o:gfxdata="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ACGIO51gAAAAcBAAAPAAAAAAAAAAEAIAAAACIAAABkcnMv&#10;ZG93bnJldi54bWxQSwECFAAUAAAACACHTuJA3hoBDj4CAABwBAAADgAAAAAAAAABACAAAAAlAQAA&#10;ZHJzL2Uyb0RvYy54bWxQSwUGAAAAAAYABgBZAQAA1QUAAAAA&#10;">
              <v:fill on="f" focussize="0,0"/>
              <v:stroke on="f" weight="0.5pt"/>
              <v:imagedata o:title=""/>
              <o:lock v:ext="edit" aspectratio="f"/>
              <v:textbox inset="0mm,0mm,0mm,0mm">
                <w:txbxContent>
                  <w:p>
                    <w:pPr>
                      <w:pStyle w:val="5"/>
                      <w:ind w:right="320" w:rightChars="100"/>
                      <w:jc w:val="righ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ascii="Times New Roman" w:hAnsi="Times New Roman" w:cs="Times New Roman" w:eastAsiaTheme="minorEastAsia"/>
                        <w:sz w:val="28"/>
                        <w:szCs w:val="28"/>
                      </w:rPr>
                      <w:fldChar w:fldCharType="begin"/>
                    </w:r>
                    <w:r>
                      <w:rPr>
                        <w:rFonts w:ascii="Times New Roman" w:hAnsi="Times New Roman" w:cs="Times New Roman" w:eastAsiaTheme="minorEastAsia"/>
                        <w:sz w:val="28"/>
                        <w:szCs w:val="28"/>
                      </w:rPr>
                      <w:instrText xml:space="preserve"> PAGE  \* MERGEFORMAT </w:instrText>
                    </w:r>
                    <w:r>
                      <w:rPr>
                        <w:rFonts w:ascii="Times New Roman" w:hAnsi="Times New Roman" w:cs="Times New Roman" w:eastAsiaTheme="minorEastAsia"/>
                        <w:sz w:val="28"/>
                        <w:szCs w:val="28"/>
                      </w:rPr>
                      <w:fldChar w:fldCharType="separate"/>
                    </w:r>
                    <w:r>
                      <w:rPr>
                        <w:rFonts w:ascii="Times New Roman" w:hAnsi="Times New Roman" w:cs="Times New Roman" w:eastAsiaTheme="minorEastAsia"/>
                        <w:sz w:val="28"/>
                        <w:szCs w:val="28"/>
                      </w:rPr>
                      <w:t>5</w:t>
                    </w:r>
                    <w:r>
                      <w:rPr>
                        <w:rFonts w:ascii="Times New Roman" w:hAnsi="Times New Roman" w:cs="Times New Roman" w:eastAsia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rPr>
        <w:sz w:val="28"/>
      </w:rPr>
    </w:pPr>
    <w:r>
      <w:rPr>
        <w:sz w:val="28"/>
      </w:rPr>
      <mc:AlternateContent>
        <mc:Choice Requires="wps">
          <w:drawing>
            <wp:anchor distT="0" distB="0" distL="114300" distR="114300" simplePos="0" relativeHeight="251660288" behindDoc="0" locked="0" layoutInCell="1" allowOverlap="1">
              <wp:simplePos x="0" y="0"/>
              <wp:positionH relativeFrom="margin">
                <wp:posOffset>18415</wp:posOffset>
              </wp:positionH>
              <wp:positionV relativeFrom="paragraph">
                <wp:posOffset>24765</wp:posOffset>
              </wp:positionV>
              <wp:extent cx="1073785" cy="32639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073785" cy="326390"/>
                      </a:xfrm>
                      <a:prstGeom prst="rect">
                        <a:avLst/>
                      </a:prstGeom>
                      <a:noFill/>
                      <a:ln w="6350">
                        <a:noFill/>
                      </a:ln>
                      <a:effectLst/>
                    </wps:spPr>
                    <wps:txbx>
                      <w:txbxContent>
                        <w:p>
                          <w:pPr>
                            <w:pStyle w:val="5"/>
                            <w:ind w:right="320" w:rightChars="100"/>
                            <w:jc w:val="righ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ascii="Times New Roman" w:hAnsi="Times New Roman" w:cs="Times New Roman" w:eastAsiaTheme="minorEastAsia"/>
                              <w:sz w:val="28"/>
                              <w:szCs w:val="28"/>
                            </w:rPr>
                            <w:fldChar w:fldCharType="begin"/>
                          </w:r>
                          <w:r>
                            <w:rPr>
                              <w:rFonts w:ascii="Times New Roman" w:hAnsi="Times New Roman" w:cs="Times New Roman" w:eastAsiaTheme="minorEastAsia"/>
                              <w:sz w:val="28"/>
                              <w:szCs w:val="28"/>
                            </w:rPr>
                            <w:instrText xml:space="preserve"> PAGE  \* MERGEFORMAT </w:instrText>
                          </w:r>
                          <w:r>
                            <w:rPr>
                              <w:rFonts w:ascii="Times New Roman" w:hAnsi="Times New Roman" w:cs="Times New Roman" w:eastAsiaTheme="minorEastAsia"/>
                              <w:sz w:val="28"/>
                              <w:szCs w:val="28"/>
                            </w:rPr>
                            <w:fldChar w:fldCharType="separate"/>
                          </w:r>
                          <w:r>
                            <w:rPr>
                              <w:rFonts w:ascii="Times New Roman" w:hAnsi="Times New Roman" w:cs="Times New Roman" w:eastAsiaTheme="minorEastAsia"/>
                              <w:sz w:val="28"/>
                              <w:szCs w:val="28"/>
                            </w:rPr>
                            <w:t>4</w:t>
                          </w:r>
                          <w:r>
                            <w:rPr>
                              <w:rFonts w:ascii="Times New Roman" w:hAnsi="Times New Roman" w:cs="Times New Roman" w:eastAsia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45pt;margin-top:1.95pt;height:25.7pt;width:84.55pt;mso-position-horizontal-relative:margin;z-index:251660288;mso-width-relative:page;mso-height-relative:page;" filled="f" stroked="f" coordsize="21600,21600" o:gfxdata="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AdRx/fWAAAABgEAAA8AAAAAAAAAAQAgAAAAIgAAAGRycy9k&#10;b3ducmV2LnhtbFBLAQIUABQAAAAIAIdO4kApIuKWPQIAAHAEAAAOAAAAAAAAAAEAIAAAACUBAABk&#10;cnMvZTJvRG9jLnhtbFBLBQYAAAAABgAGAFkBAADUBQAAAAA=&#10;">
              <v:fill on="f" focussize="0,0"/>
              <v:stroke on="f" weight="0.5pt"/>
              <v:imagedata o:title=""/>
              <o:lock v:ext="edit" aspectratio="f"/>
              <v:textbox inset="0mm,0mm,0mm,0mm">
                <w:txbxContent>
                  <w:p>
                    <w:pPr>
                      <w:pStyle w:val="5"/>
                      <w:ind w:right="320" w:rightChars="100"/>
                      <w:jc w:val="righ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ascii="Times New Roman" w:hAnsi="Times New Roman" w:cs="Times New Roman" w:eastAsiaTheme="minorEastAsia"/>
                        <w:sz w:val="28"/>
                        <w:szCs w:val="28"/>
                      </w:rPr>
                      <w:fldChar w:fldCharType="begin"/>
                    </w:r>
                    <w:r>
                      <w:rPr>
                        <w:rFonts w:ascii="Times New Roman" w:hAnsi="Times New Roman" w:cs="Times New Roman" w:eastAsiaTheme="minorEastAsia"/>
                        <w:sz w:val="28"/>
                        <w:szCs w:val="28"/>
                      </w:rPr>
                      <w:instrText xml:space="preserve"> PAGE  \* MERGEFORMAT </w:instrText>
                    </w:r>
                    <w:r>
                      <w:rPr>
                        <w:rFonts w:ascii="Times New Roman" w:hAnsi="Times New Roman" w:cs="Times New Roman" w:eastAsiaTheme="minorEastAsia"/>
                        <w:sz w:val="28"/>
                        <w:szCs w:val="28"/>
                      </w:rPr>
                      <w:fldChar w:fldCharType="separate"/>
                    </w:r>
                    <w:r>
                      <w:rPr>
                        <w:rFonts w:ascii="Times New Roman" w:hAnsi="Times New Roman" w:cs="Times New Roman" w:eastAsiaTheme="minorEastAsia"/>
                        <w:sz w:val="28"/>
                        <w:szCs w:val="28"/>
                      </w:rPr>
                      <w:t>4</w:t>
                    </w:r>
                    <w:r>
                      <w:rPr>
                        <w:rFonts w:ascii="Times New Roman" w:hAnsi="Times New Roman" w:cs="Times New Roman" w:eastAsia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705070"/>
    <w:rsid w:val="068A41AF"/>
    <w:rsid w:val="10A074B5"/>
    <w:rsid w:val="124402E1"/>
    <w:rsid w:val="14EE762E"/>
    <w:rsid w:val="15266CC9"/>
    <w:rsid w:val="17B94A73"/>
    <w:rsid w:val="189D3C6F"/>
    <w:rsid w:val="1D827BE5"/>
    <w:rsid w:val="1F1731F0"/>
    <w:rsid w:val="25A973CC"/>
    <w:rsid w:val="26C90AD4"/>
    <w:rsid w:val="2803241A"/>
    <w:rsid w:val="28DB374C"/>
    <w:rsid w:val="32AA59A4"/>
    <w:rsid w:val="43945CF4"/>
    <w:rsid w:val="4F755269"/>
    <w:rsid w:val="62897F73"/>
    <w:rsid w:val="63F577D9"/>
    <w:rsid w:val="701832BA"/>
    <w:rsid w:val="7C7050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方正仿宋_GBK" w:asciiTheme="minorHAnsi" w:hAnsiTheme="minorHAnsi" w:cstheme="minorBidi"/>
      <w:kern w:val="2"/>
      <w:sz w:val="32"/>
      <w:szCs w:val="22"/>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Message Header"/>
    <w:basedOn w:val="1"/>
    <w:next w:val="3"/>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eastAsia="宋体" w:cs="Times New Roman"/>
      <w:sz w:val="24"/>
      <w:szCs w:val="24"/>
    </w:rPr>
  </w:style>
  <w:style w:type="paragraph" w:styleId="3">
    <w:name w:val="Body Text"/>
    <w:basedOn w:val="1"/>
    <w:next w:val="1"/>
    <w:qFormat/>
    <w:uiPriority w:val="0"/>
  </w:style>
  <w:style w:type="paragraph" w:styleId="4">
    <w:name w:val="index 6"/>
    <w:basedOn w:val="1"/>
    <w:next w:val="1"/>
    <w:qFormat/>
    <w:uiPriority w:val="0"/>
    <w:pPr>
      <w:ind w:left="2100"/>
    </w:pPr>
  </w:style>
  <w:style w:type="paragraph" w:styleId="5">
    <w:name w:val="footer"/>
    <w:basedOn w:val="1"/>
    <w:qFormat/>
    <w:uiPriority w:val="0"/>
    <w:pPr>
      <w:tabs>
        <w:tab w:val="center" w:pos="4153"/>
        <w:tab w:val="right" w:pos="8306"/>
      </w:tabs>
      <w:snapToGrid w:val="0"/>
      <w:jc w:val="left"/>
    </w:pPr>
    <w:rPr>
      <w:sz w:val="18"/>
    </w:rPr>
  </w:style>
  <w:style w:type="paragraph" w:styleId="6">
    <w:name w:val="Normal (Web)"/>
    <w:basedOn w:val="1"/>
    <w:qFormat/>
    <w:uiPriority w:val="0"/>
    <w:rPr>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2021-11-17T02:27:00Z</dcterms:created>
  <dc:creator>橙汁</dc:creator>
  <cp:lastModifiedBy>王秋雁</cp:lastModifiedBy>
  <dcterms:modified xsi:type="dcterms:W3CDTF">2024-12-17T01:45:55Z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77FC43F921654ECB95FD87EBBC9E8D24</vt:lpwstr>
  </property>
</Properties>
</file>