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spacing w:before="0" w:beforeAutospacing="0"/>
        <w:jc w:val="center"/>
        <w:rPr>
          <w:rFonts w:ascii="方正小标宋_GBK" w:hAnsi="方正小标宋_GBK" w:eastAsia="方正小标宋_GBK" w:cs="方正小标宋_GBK"/>
          <w:sz w:val="36"/>
          <w:szCs w:val="36"/>
        </w:rPr>
      </w:pPr>
      <w:r>
        <w:rPr>
          <w:rFonts w:ascii="方正小标宋_GBK" w:hAnsi="方正小标宋_GBK" w:eastAsia="方正小标宋_GBK" w:cs="方正小标宋_GBK"/>
          <w:sz w:val="36"/>
          <w:szCs w:val="36"/>
        </w:rPr>
        <w:t>重庆市大足区回龙镇退役军人服务站</w:t>
      </w:r>
    </w:p>
    <w:p>
      <w:pPr>
        <w:pStyle w:val="6"/>
        <w:spacing w:before="0" w:beforeAutospacing="0"/>
        <w:jc w:val="center"/>
        <w:rPr>
          <w:rFonts w:hint="default" w:ascii="方正小标宋_GBK" w:hAnsi="方正小标宋_GBK" w:eastAsia="方正小标宋_GBK" w:cs="方正小标宋_GBK"/>
          <w:sz w:val="36"/>
          <w:szCs w:val="36"/>
          <w:shd w:val="clear" w:color="auto" w:fill="FFFFFF"/>
        </w:rPr>
      </w:pPr>
      <w:r>
        <w:rPr>
          <w:rFonts w:ascii="方正小标宋_GBK" w:hAnsi="方正小标宋_GBK" w:eastAsia="方正小标宋_GBK" w:cs="方正小标宋_GBK"/>
          <w:sz w:val="36"/>
          <w:szCs w:val="36"/>
          <w:shd w:val="clear" w:color="auto" w:fill="FFFFFF"/>
        </w:rPr>
        <w:t>2023年度决算公开说明</w:t>
      </w:r>
    </w:p>
    <w:p>
      <w:pPr>
        <w:pStyle w:val="6"/>
        <w:shd w:val="clear" w:color="auto" w:fill="FFFFFF"/>
        <w:rPr>
          <w:rFonts w:hint="default" w:ascii="黑体" w:hAnsi="黑体" w:eastAsia="黑体" w:cs="黑体"/>
          <w:sz w:val="32"/>
          <w:szCs w:val="32"/>
        </w:rPr>
      </w:pPr>
      <w:r>
        <w:rPr>
          <w:rStyle w:val="10"/>
          <w:rFonts w:ascii="黑体" w:hAnsi="黑体" w:eastAsia="黑体" w:cs="黑体"/>
          <w:sz w:val="32"/>
          <w:szCs w:val="32"/>
          <w:shd w:val="clear" w:color="auto" w:fill="FFFFFF"/>
        </w:rPr>
        <w:t>一、单位基本情况</w:t>
      </w:r>
    </w:p>
    <w:p>
      <w:pPr>
        <w:pStyle w:val="6"/>
        <w:shd w:val="clear" w:color="auto" w:fill="FFFFFF"/>
        <w:ind w:firstLine="420"/>
        <w:rPr>
          <w:rFonts w:hint="default" w:ascii="方正仿宋_GBK" w:hAnsi="方正仿宋_GBK" w:eastAsia="方正仿宋_GBK" w:cs="方正仿宋_GBK"/>
          <w:sz w:val="32"/>
          <w:szCs w:val="32"/>
        </w:rPr>
      </w:pPr>
      <w:r>
        <w:rPr>
          <w:rStyle w:val="10"/>
          <w:rFonts w:ascii="楷体" w:hAnsi="楷体" w:eastAsia="楷体" w:cs="楷体"/>
          <w:sz w:val="32"/>
          <w:szCs w:val="32"/>
          <w:shd w:val="clear" w:color="auto" w:fill="FFFFFF"/>
        </w:rPr>
        <w:t>（一）职能职责</w:t>
      </w:r>
    </w:p>
    <w:p>
      <w:pPr>
        <w:pStyle w:val="6"/>
        <w:shd w:val="clear" w:color="auto" w:fill="FFFFFF"/>
        <w:ind w:firstLine="420"/>
        <w:rPr>
          <w:rFonts w:hint="eastAsia" w:ascii="方正仿宋_GBK" w:hAnsi="方正仿宋_GBK" w:eastAsia="方正仿宋_GBK" w:cs="方正仿宋_GBK"/>
          <w:color w:val="auto"/>
          <w:sz w:val="32"/>
          <w:szCs w:val="32"/>
          <w:shd w:val="clear" w:color="auto" w:fill="FFFFFF"/>
        </w:rPr>
      </w:pPr>
      <w:r>
        <w:rPr>
          <w:rFonts w:hint="eastAsia" w:ascii="方正仿宋_GBK" w:hAnsi="方正仿宋_GBK" w:eastAsia="方正仿宋_GBK" w:cs="方正仿宋_GBK"/>
          <w:color w:val="auto"/>
          <w:sz w:val="32"/>
          <w:szCs w:val="32"/>
          <w:shd w:val="clear" w:color="auto" w:fill="FFFFFF"/>
        </w:rPr>
        <w:t>（1）协调落实就业创业、优抚帮扶、权益保障、数据信息采集等工作，组织实施退役军人适应性培训和职业教育、技能培训。</w:t>
      </w:r>
    </w:p>
    <w:p>
      <w:pPr>
        <w:pStyle w:val="6"/>
        <w:shd w:val="clear" w:color="auto" w:fill="FFFFFF"/>
        <w:ind w:firstLine="420"/>
        <w:rPr>
          <w:rFonts w:hint="eastAsia" w:ascii="方正仿宋_GBK" w:hAnsi="方正仿宋_GBK" w:eastAsia="方正仿宋_GBK" w:cs="方正仿宋_GBK"/>
          <w:color w:val="auto"/>
          <w:sz w:val="32"/>
          <w:szCs w:val="32"/>
          <w:shd w:val="clear" w:color="auto" w:fill="FFFFFF"/>
        </w:rPr>
      </w:pPr>
      <w:r>
        <w:rPr>
          <w:rFonts w:hint="eastAsia" w:ascii="方正仿宋_GBK" w:hAnsi="方正仿宋_GBK" w:eastAsia="方正仿宋_GBK" w:cs="方正仿宋_GBK"/>
          <w:color w:val="auto"/>
          <w:sz w:val="32"/>
          <w:szCs w:val="32"/>
          <w:shd w:val="clear" w:color="auto" w:fill="FFFFFF"/>
        </w:rPr>
        <w:t>（2）协助做好本辖区内退役军人组织关系、行政关系、供给关系转接和档案移交，退役军人党员摸排登记等工作，协助基层党组织做好党员教育管理服务工作。</w:t>
      </w:r>
    </w:p>
    <w:p>
      <w:pPr>
        <w:pStyle w:val="6"/>
        <w:shd w:val="clear" w:color="auto" w:fill="FFFFFF"/>
        <w:ind w:firstLine="420"/>
        <w:rPr>
          <w:rFonts w:hint="eastAsia" w:ascii="方正仿宋_GBK" w:hAnsi="方正仿宋_GBK" w:eastAsia="方正仿宋_GBK" w:cs="方正仿宋_GBK"/>
          <w:color w:val="auto"/>
          <w:sz w:val="32"/>
          <w:szCs w:val="32"/>
          <w:shd w:val="clear" w:color="auto" w:fill="FFFFFF"/>
        </w:rPr>
      </w:pPr>
      <w:r>
        <w:rPr>
          <w:rFonts w:hint="eastAsia" w:ascii="方正仿宋_GBK" w:hAnsi="方正仿宋_GBK" w:eastAsia="方正仿宋_GBK" w:cs="方正仿宋_GBK"/>
          <w:color w:val="auto"/>
          <w:sz w:val="32"/>
          <w:szCs w:val="32"/>
          <w:shd w:val="clear" w:color="auto" w:fill="FFFFFF"/>
        </w:rPr>
        <w:t>（3）协助做好涉及退役军人和其他优抚对象的信访接待工作，落实信访事项首办责任。常态化开展精准帮扶援助、化解矛盾和思想稳定工作，把党和政府的关怀温暖传递给每一位退役军人。</w:t>
      </w:r>
    </w:p>
    <w:p>
      <w:pPr>
        <w:pStyle w:val="6"/>
        <w:shd w:val="clear" w:color="auto" w:fill="FFFFFF"/>
        <w:ind w:firstLine="420"/>
        <w:rPr>
          <w:rFonts w:hint="eastAsia" w:ascii="方正仿宋_GBK" w:hAnsi="方正仿宋_GBK" w:eastAsia="方正仿宋_GBK" w:cs="方正仿宋_GBK"/>
          <w:color w:val="auto"/>
          <w:sz w:val="32"/>
          <w:szCs w:val="32"/>
          <w:shd w:val="clear" w:color="auto" w:fill="FFFFFF"/>
        </w:rPr>
      </w:pPr>
      <w:r>
        <w:rPr>
          <w:rFonts w:hint="eastAsia" w:ascii="方正仿宋_GBK" w:hAnsi="方正仿宋_GBK" w:eastAsia="方正仿宋_GBK" w:cs="方正仿宋_GBK"/>
          <w:color w:val="auto"/>
          <w:sz w:val="32"/>
          <w:szCs w:val="32"/>
          <w:shd w:val="clear" w:color="auto" w:fill="FFFFFF"/>
        </w:rPr>
        <w:t>（4）搭建政策咨询、沟通联系、学习交流等活动场所。结合特定节日及退役军人和其他优抚对象出现重大变故等情况，及时开展走访慰问。</w:t>
      </w:r>
    </w:p>
    <w:p>
      <w:pPr>
        <w:pStyle w:val="6"/>
        <w:shd w:val="clear" w:color="auto" w:fill="FFFFFF"/>
        <w:ind w:firstLine="420"/>
        <w:rPr>
          <w:rFonts w:hint="eastAsia" w:ascii="方正仿宋_GBK" w:hAnsi="方正仿宋_GBK" w:eastAsia="方正仿宋_GBK" w:cs="方正仿宋_GBK"/>
          <w:color w:val="auto"/>
          <w:sz w:val="32"/>
          <w:szCs w:val="32"/>
          <w:shd w:val="clear" w:color="auto" w:fill="FFFFFF"/>
        </w:rPr>
      </w:pPr>
      <w:r>
        <w:rPr>
          <w:rFonts w:hint="eastAsia" w:ascii="方正仿宋_GBK" w:hAnsi="方正仿宋_GBK" w:eastAsia="方正仿宋_GBK" w:cs="方正仿宋_GBK"/>
          <w:color w:val="auto"/>
          <w:sz w:val="32"/>
          <w:szCs w:val="32"/>
          <w:shd w:val="clear" w:color="auto" w:fill="FFFFFF"/>
        </w:rPr>
        <w:t>（5）全面摸清、动态掌握、及时报告辖区内退役军人和其他优抚对象思想状况、家庭生活情况和相关政策落实情况。</w:t>
      </w:r>
    </w:p>
    <w:p>
      <w:pPr>
        <w:pStyle w:val="6"/>
        <w:shd w:val="clear" w:color="auto" w:fill="FFFFFF"/>
        <w:ind w:firstLine="420"/>
        <w:rPr>
          <w:rFonts w:hint="default" w:ascii="楷体" w:hAnsi="楷体" w:eastAsia="楷体" w:cs="楷体"/>
          <w:color w:val="auto"/>
          <w:sz w:val="32"/>
          <w:szCs w:val="32"/>
        </w:rPr>
      </w:pPr>
      <w:r>
        <w:rPr>
          <w:rStyle w:val="10"/>
          <w:rFonts w:ascii="楷体" w:hAnsi="楷体" w:eastAsia="楷体" w:cs="楷体"/>
          <w:color w:val="auto"/>
          <w:sz w:val="32"/>
          <w:szCs w:val="32"/>
          <w:shd w:val="clear" w:color="auto" w:fill="FFFFFF"/>
        </w:rPr>
        <w:t>（二）机构设置</w:t>
      </w:r>
    </w:p>
    <w:p>
      <w:pPr>
        <w:pStyle w:val="6"/>
        <w:shd w:val="clear" w:color="auto" w:fill="FFFFFF"/>
        <w:rPr>
          <w:rFonts w:hint="eastAsia" w:ascii="方正仿宋_GBK" w:hAnsi="方正仿宋_GBK" w:eastAsia="方正仿宋_GBK" w:cs="方正仿宋_GBK"/>
          <w:color w:val="auto"/>
          <w:sz w:val="32"/>
          <w:szCs w:val="32"/>
          <w:shd w:val="clear" w:color="auto" w:fill="FFFFFF"/>
        </w:rPr>
      </w:pPr>
      <w:r>
        <w:rPr>
          <w:rFonts w:hint="eastAsia" w:ascii="方正仿宋_GBK" w:hAnsi="方正仿宋_GBK" w:eastAsia="方正仿宋_GBK" w:cs="方正仿宋_GBK"/>
          <w:color w:val="auto"/>
          <w:sz w:val="32"/>
          <w:szCs w:val="32"/>
          <w:shd w:val="clear" w:color="auto" w:fill="FFFFFF"/>
        </w:rPr>
        <w:t>重庆市大足区回龙镇退役军人服务站隶属于重庆市大足区回龙镇人民政府，公益一类事业单位。</w:t>
      </w:r>
    </w:p>
    <w:p>
      <w:pPr>
        <w:pStyle w:val="6"/>
        <w:shd w:val="clear" w:color="auto" w:fill="FFFFFF"/>
        <w:rPr>
          <w:rStyle w:val="10"/>
          <w:rFonts w:hint="default" w:ascii="黑体" w:hAnsi="黑体" w:eastAsia="黑体" w:cs="黑体"/>
          <w:color w:val="auto"/>
          <w:sz w:val="32"/>
          <w:szCs w:val="32"/>
          <w:shd w:val="clear" w:color="auto" w:fill="FFFFFF"/>
        </w:rPr>
      </w:pPr>
      <w:r>
        <w:rPr>
          <w:rStyle w:val="10"/>
          <w:rFonts w:ascii="黑体" w:hAnsi="黑体" w:eastAsia="黑体" w:cs="黑体"/>
          <w:color w:val="auto"/>
          <w:sz w:val="32"/>
          <w:szCs w:val="32"/>
          <w:shd w:val="clear" w:color="auto" w:fill="FFFFFF"/>
        </w:rPr>
        <w:t>二、单位决算情况说明</w:t>
      </w:r>
    </w:p>
    <w:p>
      <w:pPr>
        <w:pStyle w:val="11"/>
        <w:autoSpaceDE w:val="0"/>
        <w:ind w:firstLine="643"/>
        <w:rPr>
          <w:rFonts w:ascii="楷体" w:hAnsi="楷体" w:eastAsia="楷体" w:cs="楷体"/>
          <w:b/>
          <w:bCs/>
          <w:color w:val="auto"/>
          <w:sz w:val="32"/>
          <w:szCs w:val="32"/>
          <w:shd w:val="clear" w:color="auto" w:fill="FFFFFF"/>
        </w:rPr>
      </w:pPr>
      <w:r>
        <w:rPr>
          <w:rFonts w:hint="eastAsia" w:ascii="楷体" w:hAnsi="楷体" w:eastAsia="楷体" w:cs="楷体"/>
          <w:b/>
          <w:bCs/>
          <w:color w:val="auto"/>
          <w:sz w:val="32"/>
          <w:szCs w:val="32"/>
          <w:shd w:val="clear" w:color="auto" w:fill="FFFFFF"/>
        </w:rPr>
        <w:t>（一）收入支出决算总体情况说明。</w:t>
      </w:r>
    </w:p>
    <w:p>
      <w:pPr>
        <w:pStyle w:val="6"/>
        <w:shd w:val="clear" w:color="auto" w:fill="FFFFFF"/>
        <w:ind w:firstLine="643" w:firstLineChars="200"/>
        <w:rPr>
          <w:rFonts w:hint="default" w:ascii="方正仿宋_GBK" w:hAnsi="方正仿宋_GBK" w:eastAsia="方正仿宋_GBK" w:cs="方正仿宋_GBK"/>
          <w:color w:val="auto"/>
          <w:sz w:val="32"/>
          <w:szCs w:val="32"/>
        </w:rPr>
      </w:pPr>
      <w:r>
        <w:rPr>
          <w:rStyle w:val="10"/>
          <w:rFonts w:ascii="方正仿宋_GBK" w:hAnsi="方正仿宋_GBK" w:eastAsia="方正仿宋_GBK" w:cs="方正仿宋_GBK"/>
          <w:color w:val="auto"/>
          <w:sz w:val="32"/>
          <w:szCs w:val="32"/>
          <w:shd w:val="clear" w:color="auto" w:fill="FFFFFF"/>
        </w:rPr>
        <w:t>1.总体情况。</w:t>
      </w:r>
      <w:r>
        <w:rPr>
          <w:rFonts w:ascii="方正仿宋_GBK" w:hAnsi="方正仿宋_GBK" w:eastAsia="方正仿宋_GBK" w:cs="方正仿宋_GBK"/>
          <w:color w:val="auto"/>
          <w:sz w:val="32"/>
          <w:szCs w:val="32"/>
          <w:shd w:val="clear" w:color="auto" w:fill="FFFFFF"/>
        </w:rPr>
        <w:t>2023年度收入总计33.06万元，支出总计</w:t>
      </w:r>
      <w:r>
        <w:rPr>
          <w:rFonts w:ascii="方正仿宋_GBK" w:hAnsi="方正仿宋_GBK" w:eastAsia="方正仿宋_GBK" w:cs="方正仿宋_GBK"/>
          <w:color w:val="auto"/>
          <w:sz w:val="32"/>
          <w:szCs w:val="32"/>
        </w:rPr>
        <w:t>33.06</w:t>
      </w:r>
      <w:r>
        <w:rPr>
          <w:rFonts w:ascii="方正仿宋_GBK" w:hAnsi="方正仿宋_GBK" w:eastAsia="方正仿宋_GBK" w:cs="方正仿宋_GBK"/>
          <w:color w:val="auto"/>
          <w:sz w:val="32"/>
          <w:szCs w:val="32"/>
          <w:shd w:val="clear" w:color="auto" w:fill="FFFFFF"/>
        </w:rPr>
        <w:t>万元。收支较上年决算数增加33.06万元，增长100.00%，主要原因是</w:t>
      </w:r>
      <w:r>
        <w:rPr>
          <w:rFonts w:hint="eastAsia" w:ascii="方正仿宋_GBK" w:hAnsi="方正仿宋_GBK" w:eastAsia="方正仿宋_GBK" w:cs="方正仿宋_GBK"/>
          <w:color w:val="auto"/>
          <w:sz w:val="32"/>
          <w:szCs w:val="32"/>
          <w:shd w:val="clear" w:color="auto" w:fill="FFFFFF"/>
        </w:rPr>
        <w:t>2022年是行政和7个下属事业单位汇总编报，2023年为各单位单独填报。</w:t>
      </w:r>
    </w:p>
    <w:p>
      <w:pPr>
        <w:pStyle w:val="6"/>
        <w:snapToGrid w:val="0"/>
        <w:spacing w:before="0" w:beforeAutospacing="0" w:after="0" w:afterAutospacing="0" w:line="600" w:lineRule="exact"/>
        <w:ind w:firstLine="643" w:firstLineChars="200"/>
        <w:jc w:val="both"/>
        <w:rPr>
          <w:rFonts w:hint="default" w:ascii="方正仿宋_GBK" w:hAnsi="方正仿宋_GBK" w:eastAsia="方正仿宋_GBK" w:cs="方正仿宋_GBK"/>
          <w:color w:val="auto"/>
          <w:sz w:val="32"/>
          <w:szCs w:val="32"/>
          <w:shd w:val="clear" w:color="auto" w:fill="FFFFFF"/>
        </w:rPr>
      </w:pPr>
      <w:r>
        <w:rPr>
          <w:rStyle w:val="10"/>
          <w:rFonts w:ascii="方正仿宋_GBK" w:hAnsi="方正仿宋_GBK" w:eastAsia="方正仿宋_GBK" w:cs="方正仿宋_GBK"/>
          <w:color w:val="auto"/>
          <w:sz w:val="32"/>
          <w:szCs w:val="32"/>
          <w:shd w:val="clear" w:color="auto" w:fill="FFFFFF"/>
        </w:rPr>
        <w:t>2.收入情况。</w:t>
      </w:r>
      <w:r>
        <w:rPr>
          <w:rFonts w:ascii="方正仿宋_GBK" w:hAnsi="方正仿宋_GBK" w:eastAsia="方正仿宋_GBK" w:cs="方正仿宋_GBK"/>
          <w:color w:val="auto"/>
          <w:sz w:val="32"/>
          <w:szCs w:val="32"/>
          <w:shd w:val="clear" w:color="auto" w:fill="FFFFFF"/>
        </w:rPr>
        <w:t>2023年度收入合计33.06万元，较上年决算数增加33.06万元，增长100.00%，主要原因是</w:t>
      </w:r>
      <w:r>
        <w:rPr>
          <w:rFonts w:hint="eastAsia" w:ascii="方正仿宋_GBK" w:hAnsi="方正仿宋_GBK" w:eastAsia="方正仿宋_GBK" w:cs="方正仿宋_GBK"/>
          <w:color w:val="auto"/>
          <w:sz w:val="32"/>
          <w:szCs w:val="32"/>
          <w:shd w:val="clear" w:color="auto" w:fill="FFFFFF"/>
        </w:rPr>
        <w:t>2022年是行政和7个下属事业单位汇总编报，2023年为各单位单独填报。</w:t>
      </w:r>
      <w:r>
        <w:rPr>
          <w:rFonts w:ascii="方正仿宋_GBK" w:hAnsi="方正仿宋_GBK" w:eastAsia="方正仿宋_GBK" w:cs="方正仿宋_GBK"/>
          <w:color w:val="auto"/>
          <w:sz w:val="32"/>
          <w:szCs w:val="32"/>
          <w:shd w:val="clear" w:color="auto" w:fill="FFFFFF"/>
        </w:rPr>
        <w:t>其中：财政拨款收入</w:t>
      </w:r>
      <w:r>
        <w:rPr>
          <w:rFonts w:ascii="方正仿宋_GBK" w:hAnsi="方正仿宋_GBK" w:eastAsia="方正仿宋_GBK" w:cs="方正仿宋_GBK"/>
          <w:color w:val="auto"/>
          <w:sz w:val="32"/>
          <w:szCs w:val="32"/>
        </w:rPr>
        <w:t>33.06</w:t>
      </w:r>
      <w:r>
        <w:rPr>
          <w:rFonts w:ascii="方正仿宋_GBK" w:hAnsi="方正仿宋_GBK" w:eastAsia="方正仿宋_GBK" w:cs="方正仿宋_GBK"/>
          <w:color w:val="auto"/>
          <w:sz w:val="32"/>
          <w:szCs w:val="32"/>
          <w:shd w:val="clear" w:color="auto" w:fill="FFFFFF"/>
        </w:rPr>
        <w:t>万元，占</w:t>
      </w:r>
      <w:r>
        <w:rPr>
          <w:rFonts w:ascii="方正仿宋_GBK" w:hAnsi="方正仿宋_GBK" w:eastAsia="方正仿宋_GBK" w:cs="方正仿宋_GBK"/>
          <w:color w:val="auto"/>
          <w:sz w:val="32"/>
          <w:szCs w:val="32"/>
        </w:rPr>
        <w:t>100.00</w:t>
      </w:r>
      <w:r>
        <w:rPr>
          <w:rFonts w:ascii="方正仿宋_GBK" w:hAnsi="方正仿宋_GBK" w:eastAsia="方正仿宋_GBK" w:cs="方正仿宋_GBK"/>
          <w:color w:val="auto"/>
          <w:sz w:val="32"/>
          <w:szCs w:val="32"/>
          <w:shd w:val="clear" w:color="auto" w:fill="FFFFFF"/>
        </w:rPr>
        <w:t>%；事业收入</w:t>
      </w:r>
      <w:r>
        <w:rPr>
          <w:rFonts w:ascii="方正仿宋_GBK" w:hAnsi="方正仿宋_GBK" w:eastAsia="方正仿宋_GBK" w:cs="方正仿宋_GBK"/>
          <w:color w:val="auto"/>
          <w:sz w:val="32"/>
          <w:szCs w:val="32"/>
        </w:rPr>
        <w:t>0.00</w:t>
      </w:r>
      <w:r>
        <w:rPr>
          <w:rFonts w:ascii="方正仿宋_GBK" w:hAnsi="方正仿宋_GBK" w:eastAsia="方正仿宋_GBK" w:cs="方正仿宋_GBK"/>
          <w:color w:val="auto"/>
          <w:sz w:val="32"/>
          <w:szCs w:val="32"/>
          <w:shd w:val="clear" w:color="auto" w:fill="FFFFFF"/>
        </w:rPr>
        <w:t>万元，占0.00%；经营收入</w:t>
      </w:r>
      <w:r>
        <w:rPr>
          <w:rFonts w:ascii="方正仿宋_GBK" w:hAnsi="方正仿宋_GBK" w:eastAsia="方正仿宋_GBK" w:cs="方正仿宋_GBK"/>
          <w:color w:val="auto"/>
          <w:sz w:val="32"/>
          <w:szCs w:val="32"/>
        </w:rPr>
        <w:t>0.00</w:t>
      </w:r>
      <w:r>
        <w:rPr>
          <w:rFonts w:ascii="方正仿宋_GBK" w:hAnsi="方正仿宋_GBK" w:eastAsia="方正仿宋_GBK" w:cs="方正仿宋_GBK"/>
          <w:color w:val="auto"/>
          <w:sz w:val="32"/>
          <w:szCs w:val="32"/>
          <w:shd w:val="clear" w:color="auto" w:fill="FFFFFF"/>
        </w:rPr>
        <w:t>万元，占0.00%；其他收入</w:t>
      </w:r>
      <w:r>
        <w:rPr>
          <w:rFonts w:ascii="方正仿宋_GBK" w:hAnsi="方正仿宋_GBK" w:eastAsia="方正仿宋_GBK" w:cs="方正仿宋_GBK"/>
          <w:color w:val="auto"/>
          <w:sz w:val="32"/>
          <w:szCs w:val="32"/>
        </w:rPr>
        <w:t>0.00</w:t>
      </w:r>
      <w:r>
        <w:rPr>
          <w:rFonts w:ascii="方正仿宋_GBK" w:hAnsi="方正仿宋_GBK" w:eastAsia="方正仿宋_GBK" w:cs="方正仿宋_GBK"/>
          <w:color w:val="auto"/>
          <w:sz w:val="32"/>
          <w:szCs w:val="32"/>
          <w:shd w:val="clear" w:color="auto" w:fill="FFFFFF"/>
        </w:rPr>
        <w:t>万元，占0.00%。此外，使用非财政拨款结余和专用结余</w:t>
      </w:r>
      <w:r>
        <w:rPr>
          <w:rFonts w:ascii="方正仿宋_GBK" w:hAnsi="方正仿宋_GBK" w:eastAsia="方正仿宋_GBK" w:cs="方正仿宋_GBK"/>
          <w:color w:val="auto"/>
          <w:sz w:val="32"/>
          <w:szCs w:val="32"/>
        </w:rPr>
        <w:t>0.00</w:t>
      </w:r>
      <w:r>
        <w:rPr>
          <w:rFonts w:ascii="方正仿宋_GBK" w:hAnsi="方正仿宋_GBK" w:eastAsia="方正仿宋_GBK" w:cs="方正仿宋_GBK"/>
          <w:color w:val="auto"/>
          <w:sz w:val="32"/>
          <w:szCs w:val="32"/>
          <w:shd w:val="clear" w:color="auto" w:fill="FFFFFF"/>
        </w:rPr>
        <w:t>万元，年初结转和结余</w:t>
      </w:r>
      <w:r>
        <w:rPr>
          <w:rFonts w:ascii="方正仿宋_GBK" w:hAnsi="方正仿宋_GBK" w:eastAsia="方正仿宋_GBK" w:cs="方正仿宋_GBK"/>
          <w:color w:val="auto"/>
          <w:sz w:val="32"/>
          <w:szCs w:val="32"/>
        </w:rPr>
        <w:t>0.00</w:t>
      </w:r>
      <w:r>
        <w:rPr>
          <w:rFonts w:ascii="方正仿宋_GBK" w:hAnsi="方正仿宋_GBK" w:eastAsia="方正仿宋_GBK" w:cs="方正仿宋_GBK"/>
          <w:color w:val="auto"/>
          <w:sz w:val="32"/>
          <w:szCs w:val="32"/>
          <w:shd w:val="clear" w:color="auto" w:fill="FFFFFF"/>
        </w:rPr>
        <w:t>万元。</w:t>
      </w:r>
    </w:p>
    <w:p>
      <w:pPr>
        <w:pStyle w:val="6"/>
        <w:snapToGrid w:val="0"/>
        <w:spacing w:before="0" w:beforeAutospacing="0" w:after="0" w:afterAutospacing="0" w:line="600" w:lineRule="exact"/>
        <w:ind w:firstLine="643" w:firstLineChars="200"/>
        <w:jc w:val="both"/>
        <w:rPr>
          <w:rFonts w:hint="default" w:ascii="方正仿宋_GBK" w:hAnsi="方正仿宋_GBK" w:eastAsia="方正仿宋_GBK" w:cs="方正仿宋_GBK"/>
          <w:color w:val="auto"/>
          <w:sz w:val="32"/>
          <w:szCs w:val="32"/>
          <w:shd w:val="clear" w:color="auto" w:fill="FFFFFF"/>
        </w:rPr>
      </w:pPr>
      <w:r>
        <w:rPr>
          <w:rStyle w:val="10"/>
          <w:rFonts w:ascii="方正仿宋_GBK" w:hAnsi="方正仿宋_GBK" w:eastAsia="方正仿宋_GBK" w:cs="方正仿宋_GBK"/>
          <w:color w:val="auto"/>
          <w:sz w:val="32"/>
          <w:szCs w:val="32"/>
          <w:shd w:val="clear" w:color="auto" w:fill="FFFFFF"/>
        </w:rPr>
        <w:t>3.支出情况。</w:t>
      </w:r>
      <w:r>
        <w:rPr>
          <w:rFonts w:ascii="方正仿宋_GBK" w:hAnsi="方正仿宋_GBK" w:eastAsia="方正仿宋_GBK" w:cs="方正仿宋_GBK"/>
          <w:color w:val="auto"/>
          <w:sz w:val="32"/>
          <w:szCs w:val="32"/>
          <w:shd w:val="clear" w:color="auto" w:fill="FFFFFF"/>
        </w:rPr>
        <w:t>2023年度支出合计</w:t>
      </w:r>
      <w:r>
        <w:rPr>
          <w:rFonts w:ascii="方正仿宋_GBK" w:hAnsi="方正仿宋_GBK" w:eastAsia="方正仿宋_GBK" w:cs="方正仿宋_GBK"/>
          <w:color w:val="auto"/>
          <w:sz w:val="32"/>
          <w:szCs w:val="32"/>
        </w:rPr>
        <w:t>33.06</w:t>
      </w:r>
      <w:r>
        <w:rPr>
          <w:rFonts w:ascii="方正仿宋_GBK" w:hAnsi="方正仿宋_GBK" w:eastAsia="方正仿宋_GBK" w:cs="方正仿宋_GBK"/>
          <w:color w:val="auto"/>
          <w:sz w:val="32"/>
          <w:szCs w:val="32"/>
          <w:shd w:val="clear" w:color="auto" w:fill="FFFFFF"/>
        </w:rPr>
        <w:t>万元，较上年决算数增加33.06万元，增长100.00%，主要原因是</w:t>
      </w:r>
      <w:r>
        <w:rPr>
          <w:rFonts w:hint="eastAsia" w:ascii="方正仿宋_GBK" w:hAnsi="方正仿宋_GBK" w:eastAsia="方正仿宋_GBK" w:cs="方正仿宋_GBK"/>
          <w:color w:val="auto"/>
          <w:sz w:val="32"/>
          <w:szCs w:val="32"/>
          <w:shd w:val="clear" w:color="auto" w:fill="FFFFFF"/>
        </w:rPr>
        <w:t>2022年是行政和7个下属事业单位汇总编报，2023年为各单位单独填报。</w:t>
      </w:r>
      <w:r>
        <w:rPr>
          <w:rFonts w:ascii="方正仿宋_GBK" w:hAnsi="方正仿宋_GBK" w:eastAsia="方正仿宋_GBK" w:cs="方正仿宋_GBK"/>
          <w:color w:val="auto"/>
          <w:sz w:val="32"/>
          <w:szCs w:val="32"/>
          <w:shd w:val="clear" w:color="auto" w:fill="FFFFFF"/>
        </w:rPr>
        <w:t>其中：基本支出</w:t>
      </w:r>
      <w:r>
        <w:rPr>
          <w:rFonts w:ascii="方正仿宋_GBK" w:hAnsi="方正仿宋_GBK" w:eastAsia="方正仿宋_GBK" w:cs="方正仿宋_GBK"/>
          <w:color w:val="auto"/>
          <w:sz w:val="32"/>
          <w:szCs w:val="32"/>
        </w:rPr>
        <w:t>33.06</w:t>
      </w:r>
      <w:r>
        <w:rPr>
          <w:rFonts w:ascii="方正仿宋_GBK" w:hAnsi="方正仿宋_GBK" w:eastAsia="方正仿宋_GBK" w:cs="方正仿宋_GBK"/>
          <w:color w:val="auto"/>
          <w:sz w:val="32"/>
          <w:szCs w:val="32"/>
          <w:shd w:val="clear" w:color="auto" w:fill="FFFFFF"/>
        </w:rPr>
        <w:t>万元，占100.00%；项目支出</w:t>
      </w:r>
      <w:r>
        <w:rPr>
          <w:rFonts w:ascii="方正仿宋_GBK" w:hAnsi="方正仿宋_GBK" w:eastAsia="方正仿宋_GBK" w:cs="方正仿宋_GBK"/>
          <w:color w:val="auto"/>
          <w:sz w:val="32"/>
          <w:szCs w:val="32"/>
        </w:rPr>
        <w:t>0.00</w:t>
      </w:r>
      <w:r>
        <w:rPr>
          <w:rFonts w:ascii="方正仿宋_GBK" w:hAnsi="方正仿宋_GBK" w:eastAsia="方正仿宋_GBK" w:cs="方正仿宋_GBK"/>
          <w:color w:val="auto"/>
          <w:sz w:val="32"/>
          <w:szCs w:val="32"/>
          <w:shd w:val="clear" w:color="auto" w:fill="FFFFFF"/>
        </w:rPr>
        <w:t>万元，占0.00%；经营支出</w:t>
      </w:r>
      <w:r>
        <w:rPr>
          <w:rFonts w:ascii="方正仿宋_GBK" w:hAnsi="方正仿宋_GBK" w:eastAsia="方正仿宋_GBK" w:cs="方正仿宋_GBK"/>
          <w:color w:val="auto"/>
          <w:sz w:val="32"/>
          <w:szCs w:val="32"/>
        </w:rPr>
        <w:t>0.00</w:t>
      </w:r>
      <w:r>
        <w:rPr>
          <w:rFonts w:ascii="方正仿宋_GBK" w:hAnsi="方正仿宋_GBK" w:eastAsia="方正仿宋_GBK" w:cs="方正仿宋_GBK"/>
          <w:color w:val="auto"/>
          <w:sz w:val="32"/>
          <w:szCs w:val="32"/>
          <w:shd w:val="clear" w:color="auto" w:fill="FFFFFF"/>
        </w:rPr>
        <w:t>万元，占0.00%。此外，结余分配</w:t>
      </w:r>
      <w:r>
        <w:rPr>
          <w:rFonts w:ascii="方正仿宋_GBK" w:hAnsi="方正仿宋_GBK" w:eastAsia="方正仿宋_GBK" w:cs="方正仿宋_GBK"/>
          <w:color w:val="auto"/>
          <w:sz w:val="32"/>
          <w:szCs w:val="32"/>
        </w:rPr>
        <w:t>0.00</w:t>
      </w:r>
      <w:r>
        <w:rPr>
          <w:rFonts w:ascii="方正仿宋_GBK" w:hAnsi="方正仿宋_GBK" w:eastAsia="方正仿宋_GBK" w:cs="方正仿宋_GBK"/>
          <w:color w:val="auto"/>
          <w:sz w:val="32"/>
          <w:szCs w:val="32"/>
          <w:shd w:val="clear" w:color="auto" w:fill="FFFFFF"/>
        </w:rPr>
        <w:t>万元。</w:t>
      </w:r>
    </w:p>
    <w:p>
      <w:pPr>
        <w:pStyle w:val="6"/>
        <w:snapToGrid w:val="0"/>
        <w:spacing w:before="0" w:beforeAutospacing="0" w:after="0" w:afterAutospacing="0" w:line="600" w:lineRule="exact"/>
        <w:ind w:firstLine="643" w:firstLineChars="200"/>
        <w:jc w:val="both"/>
        <w:rPr>
          <w:rFonts w:hint="eastAsia" w:ascii="方正仿宋_GBK" w:hAnsi="方正仿宋_GBK" w:eastAsia="方正仿宋_GBK" w:cs="方正仿宋_GBK"/>
          <w:color w:val="auto"/>
          <w:sz w:val="32"/>
          <w:szCs w:val="32"/>
          <w:lang w:eastAsia="zh-CN"/>
        </w:rPr>
      </w:pPr>
      <w:r>
        <w:rPr>
          <w:rStyle w:val="10"/>
          <w:rFonts w:ascii="方正仿宋_GBK" w:hAnsi="方正仿宋_GBK" w:eastAsia="方正仿宋_GBK" w:cs="方正仿宋_GBK"/>
          <w:color w:val="auto"/>
          <w:sz w:val="32"/>
          <w:szCs w:val="32"/>
          <w:shd w:val="clear" w:color="auto" w:fill="FFFFFF"/>
        </w:rPr>
        <w:t>4.结转结余情况。</w:t>
      </w:r>
      <w:r>
        <w:rPr>
          <w:rFonts w:ascii="方正仿宋_GBK" w:hAnsi="方正仿宋_GBK" w:eastAsia="方正仿宋_GBK" w:cs="方正仿宋_GBK"/>
          <w:color w:val="auto"/>
          <w:sz w:val="32"/>
          <w:szCs w:val="32"/>
          <w:shd w:val="clear" w:color="auto" w:fill="FFFFFF"/>
        </w:rPr>
        <w:t>2023年度年末结转和结余</w:t>
      </w:r>
      <w:r>
        <w:rPr>
          <w:rFonts w:ascii="方正仿宋_GBK" w:hAnsi="方正仿宋_GBK" w:eastAsia="方正仿宋_GBK" w:cs="方正仿宋_GBK"/>
          <w:color w:val="auto"/>
          <w:sz w:val="32"/>
          <w:szCs w:val="32"/>
        </w:rPr>
        <w:t>0.00</w:t>
      </w:r>
      <w:r>
        <w:rPr>
          <w:rFonts w:ascii="方正仿宋_GBK" w:hAnsi="方正仿宋_GBK" w:eastAsia="方正仿宋_GBK" w:cs="方正仿宋_GBK"/>
          <w:color w:val="auto"/>
          <w:sz w:val="32"/>
          <w:szCs w:val="32"/>
          <w:shd w:val="clear" w:color="auto" w:fill="FFFFFF"/>
        </w:rPr>
        <w:t>万元，较上年决算数无增减</w:t>
      </w:r>
      <w:r>
        <w:rPr>
          <w:rFonts w:hint="eastAsia" w:ascii="方正仿宋_GBK" w:hAnsi="方正仿宋_GBK" w:eastAsia="方正仿宋_GBK" w:cs="方正仿宋_GBK"/>
          <w:color w:val="auto"/>
          <w:sz w:val="32"/>
          <w:szCs w:val="32"/>
          <w:shd w:val="clear" w:color="auto" w:fill="FFFFFF"/>
          <w:lang w:eastAsia="zh-CN"/>
        </w:rPr>
        <w:t>。</w:t>
      </w:r>
    </w:p>
    <w:p>
      <w:pPr>
        <w:pStyle w:val="11"/>
        <w:autoSpaceDE w:val="0"/>
        <w:ind w:firstLine="643"/>
        <w:rPr>
          <w:rFonts w:ascii="楷体" w:hAnsi="楷体" w:eastAsia="楷体" w:cs="楷体"/>
          <w:b/>
          <w:bCs/>
          <w:color w:val="auto"/>
          <w:sz w:val="32"/>
          <w:szCs w:val="32"/>
          <w:shd w:val="clear" w:color="auto" w:fill="FFFFFF"/>
        </w:rPr>
      </w:pPr>
      <w:r>
        <w:rPr>
          <w:rFonts w:hint="eastAsia" w:ascii="楷体" w:hAnsi="楷体" w:eastAsia="楷体" w:cs="楷体"/>
          <w:b/>
          <w:bCs/>
          <w:color w:val="auto"/>
          <w:sz w:val="32"/>
          <w:szCs w:val="32"/>
          <w:shd w:val="clear" w:color="auto" w:fill="FFFFFF"/>
        </w:rPr>
        <w:t>（二）财政拨款收入支出决算总体情况说明</w:t>
      </w:r>
    </w:p>
    <w:p>
      <w:pPr>
        <w:pStyle w:val="6"/>
        <w:snapToGrid w:val="0"/>
        <w:spacing w:before="0" w:beforeAutospacing="0" w:after="0" w:afterAutospacing="0" w:line="600" w:lineRule="exact"/>
        <w:ind w:firstLine="640" w:firstLineChars="200"/>
        <w:jc w:val="both"/>
        <w:rPr>
          <w:rFonts w:hint="default" w:ascii="方正仿宋_GBK" w:hAnsi="方正仿宋_GBK" w:eastAsia="方正仿宋_GBK" w:cs="方正仿宋_GBK"/>
          <w:color w:val="auto"/>
          <w:sz w:val="32"/>
          <w:szCs w:val="32"/>
        </w:rPr>
      </w:pPr>
      <w:r>
        <w:rPr>
          <w:rFonts w:ascii="方正仿宋_GBK" w:hAnsi="方正仿宋_GBK" w:eastAsia="方正仿宋_GBK" w:cs="方正仿宋_GBK"/>
          <w:color w:val="auto"/>
          <w:sz w:val="32"/>
          <w:szCs w:val="32"/>
          <w:shd w:val="clear" w:color="auto" w:fill="FFFFFF"/>
        </w:rPr>
        <w:t>2023年度财政拨款收、支总计33.06万元。与2022年相比，财政拨款收、支总计各增加33.06万元，增长100.00%。主要原因是</w:t>
      </w:r>
      <w:r>
        <w:rPr>
          <w:rFonts w:hint="eastAsia" w:ascii="方正仿宋_GBK" w:hAnsi="方正仿宋_GBK" w:eastAsia="方正仿宋_GBK" w:cs="方正仿宋_GBK"/>
          <w:color w:val="auto"/>
          <w:sz w:val="32"/>
          <w:szCs w:val="32"/>
          <w:shd w:val="clear" w:color="auto" w:fill="FFFFFF"/>
        </w:rPr>
        <w:t>2022年是行政和7个下属事业单位汇总编报，2023年为各单位单独填报。</w:t>
      </w:r>
    </w:p>
    <w:p>
      <w:pPr>
        <w:pStyle w:val="11"/>
        <w:autoSpaceDE w:val="0"/>
        <w:ind w:firstLine="643"/>
        <w:rPr>
          <w:rFonts w:ascii="楷体" w:hAnsi="楷体" w:eastAsia="楷体" w:cs="楷体"/>
          <w:b/>
          <w:bCs/>
          <w:color w:val="auto"/>
          <w:sz w:val="32"/>
          <w:szCs w:val="32"/>
          <w:shd w:val="clear" w:color="auto" w:fill="FFFFFF"/>
        </w:rPr>
      </w:pPr>
      <w:r>
        <w:rPr>
          <w:rFonts w:hint="eastAsia" w:ascii="楷体" w:hAnsi="楷体" w:eastAsia="楷体" w:cs="楷体"/>
          <w:b/>
          <w:bCs/>
          <w:color w:val="auto"/>
          <w:sz w:val="32"/>
          <w:szCs w:val="32"/>
          <w:shd w:val="clear" w:color="auto" w:fill="FFFFFF"/>
        </w:rPr>
        <w:t>（三）一般公共预算财政拨款收入支出决算情况说明</w:t>
      </w:r>
    </w:p>
    <w:p>
      <w:pPr>
        <w:pStyle w:val="6"/>
        <w:snapToGrid w:val="0"/>
        <w:spacing w:before="0" w:beforeAutospacing="0" w:after="0" w:afterAutospacing="0" w:line="600" w:lineRule="exact"/>
        <w:ind w:firstLine="643" w:firstLineChars="200"/>
        <w:jc w:val="both"/>
        <w:rPr>
          <w:rFonts w:hint="default" w:ascii="方正仿宋_GBK" w:hAnsi="方正仿宋_GBK" w:eastAsia="方正仿宋_GBK" w:cs="方正仿宋_GBK"/>
          <w:color w:val="auto"/>
          <w:sz w:val="32"/>
          <w:szCs w:val="32"/>
        </w:rPr>
      </w:pPr>
      <w:r>
        <w:rPr>
          <w:rStyle w:val="10"/>
          <w:rFonts w:ascii="方正仿宋_GBK" w:hAnsi="方正仿宋_GBK" w:eastAsia="方正仿宋_GBK" w:cs="方正仿宋_GBK"/>
          <w:color w:val="auto"/>
          <w:sz w:val="32"/>
          <w:szCs w:val="32"/>
          <w:shd w:val="clear" w:color="auto" w:fill="FFFFFF"/>
        </w:rPr>
        <w:t>1.收入情况。</w:t>
      </w:r>
      <w:r>
        <w:rPr>
          <w:rFonts w:ascii="方正仿宋_GBK" w:hAnsi="方正仿宋_GBK" w:eastAsia="方正仿宋_GBK" w:cs="方正仿宋_GBK"/>
          <w:color w:val="auto"/>
          <w:sz w:val="32"/>
          <w:szCs w:val="32"/>
          <w:shd w:val="clear" w:color="auto" w:fill="FFFFFF"/>
        </w:rPr>
        <w:t>2023年度一般公共预算财政拨款收入</w:t>
      </w:r>
      <w:r>
        <w:rPr>
          <w:rFonts w:ascii="方正仿宋_GBK" w:hAnsi="方正仿宋_GBK" w:eastAsia="方正仿宋_GBK" w:cs="方正仿宋_GBK"/>
          <w:color w:val="auto"/>
          <w:sz w:val="32"/>
          <w:szCs w:val="32"/>
        </w:rPr>
        <w:t>33.06</w:t>
      </w:r>
      <w:r>
        <w:rPr>
          <w:rFonts w:ascii="方正仿宋_GBK" w:hAnsi="方正仿宋_GBK" w:eastAsia="方正仿宋_GBK" w:cs="方正仿宋_GBK"/>
          <w:color w:val="auto"/>
          <w:sz w:val="32"/>
          <w:szCs w:val="32"/>
          <w:shd w:val="clear" w:color="auto" w:fill="FFFFFF"/>
        </w:rPr>
        <w:t>万元，较上年决算数增加33.06万元，增长100.00%。主要原因是</w:t>
      </w:r>
      <w:r>
        <w:rPr>
          <w:rFonts w:hint="eastAsia" w:ascii="方正仿宋_GBK" w:hAnsi="方正仿宋_GBK" w:eastAsia="方正仿宋_GBK" w:cs="方正仿宋_GBK"/>
          <w:b w:val="0"/>
          <w:bCs w:val="0"/>
          <w:color w:val="auto"/>
          <w:sz w:val="32"/>
          <w:szCs w:val="32"/>
          <w:shd w:val="clear" w:color="auto" w:fill="FFFFFF"/>
        </w:rPr>
        <w:t>2022年是行政和7个下属事业单位汇总编报，2023年为各单位单独填报。</w:t>
      </w:r>
      <w:r>
        <w:rPr>
          <w:rFonts w:ascii="方正仿宋_GBK" w:hAnsi="方正仿宋_GBK" w:eastAsia="方正仿宋_GBK" w:cs="方正仿宋_GBK"/>
          <w:color w:val="auto"/>
          <w:sz w:val="32"/>
          <w:szCs w:val="32"/>
          <w:shd w:val="clear" w:color="auto" w:fill="FFFFFF"/>
        </w:rPr>
        <w:t>较年初预算数减少0.36万元，下降1.08%。主要原因是</w:t>
      </w:r>
      <w:r>
        <w:rPr>
          <w:rFonts w:hint="eastAsia" w:ascii="方正仿宋_GBK" w:hAnsi="方正仿宋_GBK" w:eastAsia="方正仿宋_GBK" w:cs="方正仿宋_GBK"/>
          <w:color w:val="auto"/>
          <w:sz w:val="32"/>
          <w:szCs w:val="32"/>
          <w:shd w:val="clear" w:color="auto" w:fill="FFFFFF"/>
          <w:lang w:eastAsia="zh-CN"/>
        </w:rPr>
        <w:t>人员变动</w:t>
      </w:r>
      <w:r>
        <w:rPr>
          <w:rFonts w:ascii="方正仿宋_GBK" w:hAnsi="方正仿宋_GBK" w:eastAsia="方正仿宋_GBK" w:cs="方正仿宋_GBK"/>
          <w:color w:val="auto"/>
          <w:sz w:val="32"/>
          <w:szCs w:val="32"/>
          <w:shd w:val="clear" w:color="auto" w:fill="FFFFFF"/>
        </w:rPr>
        <w:t>。此外，年初财政拨款结转和结余</w:t>
      </w:r>
      <w:r>
        <w:rPr>
          <w:rFonts w:ascii="方正仿宋_GBK" w:hAnsi="方正仿宋_GBK" w:eastAsia="方正仿宋_GBK" w:cs="方正仿宋_GBK"/>
          <w:color w:val="auto"/>
          <w:sz w:val="32"/>
          <w:szCs w:val="32"/>
        </w:rPr>
        <w:t>0.00</w:t>
      </w:r>
      <w:r>
        <w:rPr>
          <w:rFonts w:ascii="方正仿宋_GBK" w:hAnsi="方正仿宋_GBK" w:eastAsia="方正仿宋_GBK" w:cs="方正仿宋_GBK"/>
          <w:color w:val="auto"/>
          <w:sz w:val="32"/>
          <w:szCs w:val="32"/>
          <w:shd w:val="clear" w:color="auto" w:fill="FFFFFF"/>
        </w:rPr>
        <w:t>万元。</w:t>
      </w:r>
    </w:p>
    <w:p>
      <w:pPr>
        <w:pStyle w:val="6"/>
        <w:snapToGrid w:val="0"/>
        <w:spacing w:before="0" w:beforeAutospacing="0" w:after="0" w:afterAutospacing="0" w:line="600" w:lineRule="exact"/>
        <w:ind w:firstLine="643" w:firstLineChars="200"/>
        <w:jc w:val="both"/>
        <w:rPr>
          <w:rFonts w:hint="default" w:ascii="方正仿宋_GBK" w:hAnsi="方正仿宋_GBK" w:eastAsia="方正仿宋_GBK" w:cs="方正仿宋_GBK"/>
          <w:color w:val="auto"/>
          <w:sz w:val="32"/>
          <w:szCs w:val="32"/>
        </w:rPr>
      </w:pPr>
      <w:r>
        <w:rPr>
          <w:rStyle w:val="10"/>
          <w:rFonts w:ascii="方正仿宋_GBK" w:hAnsi="方正仿宋_GBK" w:eastAsia="方正仿宋_GBK" w:cs="方正仿宋_GBK"/>
          <w:color w:val="auto"/>
          <w:sz w:val="32"/>
          <w:szCs w:val="32"/>
          <w:shd w:val="clear" w:color="auto" w:fill="FFFFFF"/>
        </w:rPr>
        <w:t>2.支出情况。</w:t>
      </w:r>
      <w:r>
        <w:rPr>
          <w:rFonts w:ascii="方正仿宋_GBK" w:hAnsi="方正仿宋_GBK" w:eastAsia="方正仿宋_GBK" w:cs="方正仿宋_GBK"/>
          <w:color w:val="auto"/>
          <w:sz w:val="32"/>
          <w:szCs w:val="32"/>
          <w:shd w:val="clear" w:color="auto" w:fill="FFFFFF"/>
        </w:rPr>
        <w:t>2023年度一般公共预算财政拨款支出</w:t>
      </w:r>
      <w:r>
        <w:rPr>
          <w:rFonts w:ascii="方正仿宋_GBK" w:hAnsi="方正仿宋_GBK" w:eastAsia="方正仿宋_GBK" w:cs="方正仿宋_GBK"/>
          <w:color w:val="auto"/>
          <w:sz w:val="32"/>
          <w:szCs w:val="32"/>
        </w:rPr>
        <w:t>33.06</w:t>
      </w:r>
      <w:r>
        <w:rPr>
          <w:rFonts w:ascii="方正仿宋_GBK" w:hAnsi="方正仿宋_GBK" w:eastAsia="方正仿宋_GBK" w:cs="方正仿宋_GBK"/>
          <w:color w:val="auto"/>
          <w:sz w:val="32"/>
          <w:szCs w:val="32"/>
          <w:shd w:val="clear" w:color="auto" w:fill="FFFFFF"/>
        </w:rPr>
        <w:t>万元，较上年决算数增加33.06万元，增长100.00%。主要原因是</w:t>
      </w:r>
      <w:r>
        <w:rPr>
          <w:rFonts w:hint="eastAsia" w:ascii="方正仿宋_GBK" w:hAnsi="方正仿宋_GBK" w:eastAsia="方正仿宋_GBK" w:cs="方正仿宋_GBK"/>
          <w:color w:val="auto"/>
          <w:sz w:val="32"/>
          <w:szCs w:val="32"/>
          <w:shd w:val="clear" w:color="auto" w:fill="FFFFFF"/>
        </w:rPr>
        <w:t>2022年是行政和7个下属事业单位汇总编报，2023年为各单位单独填报。</w:t>
      </w:r>
      <w:r>
        <w:rPr>
          <w:rFonts w:ascii="方正仿宋_GBK" w:hAnsi="方正仿宋_GBK" w:eastAsia="方正仿宋_GBK" w:cs="方正仿宋_GBK"/>
          <w:color w:val="auto"/>
          <w:sz w:val="32"/>
          <w:szCs w:val="32"/>
          <w:shd w:val="clear" w:color="auto" w:fill="FFFFFF"/>
        </w:rPr>
        <w:t>较年初预算数减少0.36万元，下降1.08%。主要原因是</w:t>
      </w:r>
      <w:r>
        <w:rPr>
          <w:rFonts w:hint="eastAsia" w:ascii="方正仿宋_GBK" w:hAnsi="方正仿宋_GBK" w:eastAsia="方正仿宋_GBK" w:cs="方正仿宋_GBK"/>
          <w:color w:val="auto"/>
          <w:sz w:val="32"/>
          <w:szCs w:val="32"/>
          <w:shd w:val="clear" w:color="auto" w:fill="FFFFFF"/>
          <w:lang w:eastAsia="zh-CN"/>
        </w:rPr>
        <w:t>人员变动</w:t>
      </w:r>
      <w:r>
        <w:rPr>
          <w:rFonts w:ascii="方正仿宋_GBK" w:hAnsi="方正仿宋_GBK" w:eastAsia="方正仿宋_GBK" w:cs="方正仿宋_GBK"/>
          <w:color w:val="auto"/>
          <w:sz w:val="32"/>
          <w:szCs w:val="32"/>
          <w:shd w:val="clear" w:color="auto" w:fill="FFFFFF"/>
        </w:rPr>
        <w:t>。</w:t>
      </w:r>
    </w:p>
    <w:p>
      <w:pPr>
        <w:pStyle w:val="6"/>
        <w:snapToGrid w:val="0"/>
        <w:spacing w:before="0" w:beforeAutospacing="0" w:after="0" w:afterAutospacing="0" w:line="600" w:lineRule="exact"/>
        <w:ind w:firstLine="643" w:firstLineChars="200"/>
        <w:jc w:val="both"/>
        <w:rPr>
          <w:rFonts w:hint="default" w:ascii="方正仿宋_GBK" w:hAnsi="方正仿宋_GBK" w:eastAsia="方正仿宋_GBK" w:cs="方正仿宋_GBK"/>
          <w:color w:val="auto"/>
          <w:sz w:val="32"/>
          <w:szCs w:val="32"/>
        </w:rPr>
      </w:pPr>
      <w:r>
        <w:rPr>
          <w:rStyle w:val="10"/>
          <w:rFonts w:ascii="方正仿宋_GBK" w:hAnsi="方正仿宋_GBK" w:eastAsia="方正仿宋_GBK" w:cs="方正仿宋_GBK"/>
          <w:color w:val="auto"/>
          <w:sz w:val="32"/>
          <w:szCs w:val="32"/>
          <w:shd w:val="clear" w:color="auto" w:fill="FFFFFF"/>
        </w:rPr>
        <w:t>3.结转结余情况。</w:t>
      </w:r>
      <w:r>
        <w:rPr>
          <w:rFonts w:ascii="方正仿宋_GBK" w:hAnsi="方正仿宋_GBK" w:eastAsia="方正仿宋_GBK" w:cs="方正仿宋_GBK"/>
          <w:color w:val="auto"/>
          <w:sz w:val="32"/>
          <w:szCs w:val="32"/>
          <w:shd w:val="clear" w:color="auto" w:fill="FFFFFF"/>
        </w:rPr>
        <w:t>2023年度年末一般公共预算财政拨款结转和结余</w:t>
      </w:r>
      <w:r>
        <w:rPr>
          <w:rFonts w:ascii="方正仿宋_GBK" w:hAnsi="方正仿宋_GBK" w:eastAsia="方正仿宋_GBK" w:cs="方正仿宋_GBK"/>
          <w:color w:val="auto"/>
          <w:sz w:val="32"/>
          <w:szCs w:val="32"/>
        </w:rPr>
        <w:t>0.00</w:t>
      </w:r>
      <w:r>
        <w:rPr>
          <w:rFonts w:ascii="方正仿宋_GBK" w:hAnsi="方正仿宋_GBK" w:eastAsia="方正仿宋_GBK" w:cs="方正仿宋_GBK"/>
          <w:color w:val="auto"/>
          <w:sz w:val="32"/>
          <w:szCs w:val="32"/>
          <w:shd w:val="clear" w:color="auto" w:fill="FFFFFF"/>
        </w:rPr>
        <w:t>万元，较上年决算数无增减。</w:t>
      </w:r>
    </w:p>
    <w:p>
      <w:pPr>
        <w:pStyle w:val="6"/>
        <w:snapToGrid w:val="0"/>
        <w:spacing w:before="0" w:beforeAutospacing="0" w:after="0" w:afterAutospacing="0" w:line="600" w:lineRule="exact"/>
        <w:ind w:firstLine="643" w:firstLineChars="200"/>
        <w:jc w:val="both"/>
        <w:rPr>
          <w:rFonts w:hint="default" w:ascii="方正仿宋_GBK" w:hAnsi="方正仿宋_GBK" w:eastAsia="方正仿宋_GBK" w:cs="方正仿宋_GBK"/>
          <w:color w:val="auto"/>
          <w:sz w:val="32"/>
          <w:szCs w:val="32"/>
        </w:rPr>
      </w:pPr>
      <w:r>
        <w:rPr>
          <w:rStyle w:val="10"/>
          <w:rFonts w:ascii="方正仿宋_GBK" w:hAnsi="方正仿宋_GBK" w:eastAsia="方正仿宋_GBK" w:cs="方正仿宋_GBK"/>
          <w:color w:val="auto"/>
          <w:sz w:val="32"/>
          <w:szCs w:val="32"/>
          <w:shd w:val="clear" w:color="auto" w:fill="FFFFFF"/>
        </w:rPr>
        <w:t xml:space="preserve"> 4.比较情况。</w:t>
      </w:r>
      <w:r>
        <w:rPr>
          <w:rFonts w:ascii="方正仿宋_GBK" w:hAnsi="方正仿宋_GBK" w:eastAsia="方正仿宋_GBK" w:cs="方正仿宋_GBK"/>
          <w:color w:val="auto"/>
          <w:sz w:val="32"/>
          <w:szCs w:val="32"/>
          <w:shd w:val="clear" w:color="auto" w:fill="FFFFFF"/>
        </w:rPr>
        <w:t>本单位2023年度一般公共预算财政拨款支出主要用于以下几个方面：</w:t>
      </w:r>
    </w:p>
    <w:p>
      <w:pPr>
        <w:pStyle w:val="6"/>
        <w:snapToGrid w:val="0"/>
        <w:spacing w:before="0" w:beforeAutospacing="0" w:after="0" w:afterAutospacing="0" w:line="600" w:lineRule="exact"/>
        <w:ind w:firstLine="640" w:firstLineChars="200"/>
        <w:jc w:val="both"/>
        <w:rPr>
          <w:rFonts w:hint="eastAsia" w:ascii="方正仿宋_GBK" w:hAnsi="方正仿宋_GBK" w:eastAsia="方正仿宋_GBK" w:cs="方正仿宋_GBK"/>
          <w:color w:val="auto"/>
          <w:sz w:val="32"/>
          <w:szCs w:val="32"/>
          <w:shd w:val="clear" w:color="auto" w:fill="FFFFFF"/>
          <w:lang w:eastAsia="zh-CN"/>
        </w:rPr>
      </w:pPr>
      <w:r>
        <w:rPr>
          <w:rFonts w:ascii="方正仿宋_GBK" w:hAnsi="方正仿宋_GBK" w:eastAsia="方正仿宋_GBK" w:cs="方正仿宋_GBK"/>
          <w:color w:val="auto"/>
          <w:sz w:val="32"/>
          <w:szCs w:val="32"/>
          <w:shd w:val="clear" w:color="auto" w:fill="FFFFFF"/>
        </w:rPr>
        <w:t>（</w:t>
      </w:r>
      <w:r>
        <w:rPr>
          <w:rFonts w:hint="eastAsia" w:ascii="方正仿宋_GBK" w:hAnsi="方正仿宋_GBK" w:eastAsia="方正仿宋_GBK" w:cs="方正仿宋_GBK"/>
          <w:color w:val="auto"/>
          <w:sz w:val="32"/>
          <w:szCs w:val="32"/>
          <w:shd w:val="clear" w:color="auto" w:fill="FFFFFF"/>
          <w:lang w:val="en-US" w:eastAsia="zh-CN"/>
        </w:rPr>
        <w:t>1</w:t>
      </w:r>
      <w:r>
        <w:rPr>
          <w:rFonts w:ascii="方正仿宋_GBK" w:hAnsi="方正仿宋_GBK" w:eastAsia="方正仿宋_GBK" w:cs="方正仿宋_GBK"/>
          <w:color w:val="auto"/>
          <w:sz w:val="32"/>
          <w:szCs w:val="32"/>
          <w:shd w:val="clear" w:color="auto" w:fill="FFFFFF"/>
        </w:rPr>
        <w:t>）社会保障与就业支出</w:t>
      </w:r>
      <w:r>
        <w:rPr>
          <w:rFonts w:ascii="方正仿宋_GBK" w:hAnsi="方正仿宋_GBK" w:eastAsia="方正仿宋_GBK" w:cs="方正仿宋_GBK"/>
          <w:color w:val="auto"/>
          <w:sz w:val="32"/>
          <w:szCs w:val="32"/>
        </w:rPr>
        <w:t>29.52</w:t>
      </w:r>
      <w:r>
        <w:rPr>
          <w:rFonts w:ascii="方正仿宋_GBK" w:hAnsi="方正仿宋_GBK" w:eastAsia="方正仿宋_GBK" w:cs="方正仿宋_GBK"/>
          <w:color w:val="auto"/>
          <w:sz w:val="32"/>
          <w:szCs w:val="32"/>
          <w:shd w:val="clear" w:color="auto" w:fill="FFFFFF"/>
        </w:rPr>
        <w:t>万元，占</w:t>
      </w:r>
      <w:r>
        <w:rPr>
          <w:rFonts w:ascii="方正仿宋_GBK" w:hAnsi="方正仿宋_GBK" w:eastAsia="方正仿宋_GBK" w:cs="方正仿宋_GBK"/>
          <w:color w:val="auto"/>
          <w:sz w:val="32"/>
          <w:szCs w:val="32"/>
        </w:rPr>
        <w:t>89.30</w:t>
      </w:r>
      <w:r>
        <w:rPr>
          <w:rFonts w:ascii="方正仿宋_GBK" w:hAnsi="方正仿宋_GBK" w:eastAsia="方正仿宋_GBK" w:cs="方正仿宋_GBK"/>
          <w:color w:val="auto"/>
          <w:sz w:val="32"/>
          <w:szCs w:val="32"/>
          <w:shd w:val="clear" w:color="auto" w:fill="FFFFFF"/>
        </w:rPr>
        <w:t>%，较年初预算数减少0.36万元，下降1.20%，主要原因是</w:t>
      </w:r>
      <w:r>
        <w:rPr>
          <w:rFonts w:hint="eastAsia" w:ascii="方正仿宋_GBK" w:hAnsi="方正仿宋_GBK" w:eastAsia="方正仿宋_GBK" w:cs="方正仿宋_GBK"/>
          <w:color w:val="auto"/>
          <w:sz w:val="32"/>
          <w:szCs w:val="32"/>
          <w:shd w:val="clear" w:color="auto" w:fill="FFFFFF"/>
          <w:lang w:eastAsia="zh-CN"/>
        </w:rPr>
        <w:t>人员变动。</w:t>
      </w:r>
    </w:p>
    <w:p>
      <w:pPr>
        <w:pStyle w:val="6"/>
        <w:snapToGrid w:val="0"/>
        <w:spacing w:before="0" w:beforeAutospacing="0" w:after="0" w:afterAutospacing="0" w:line="600" w:lineRule="exact"/>
        <w:ind w:firstLine="640" w:firstLineChars="200"/>
        <w:jc w:val="both"/>
        <w:rPr>
          <w:rFonts w:hint="eastAsia" w:ascii="方正仿宋_GBK" w:hAnsi="方正仿宋_GBK" w:eastAsia="方正仿宋_GBK" w:cs="方正仿宋_GBK"/>
          <w:color w:val="auto"/>
          <w:sz w:val="32"/>
          <w:szCs w:val="32"/>
          <w:shd w:val="clear" w:color="auto" w:fill="FFFFFF"/>
        </w:rPr>
      </w:pPr>
      <w:r>
        <w:rPr>
          <w:rFonts w:ascii="方正仿宋_GBK" w:hAnsi="方正仿宋_GBK" w:eastAsia="方正仿宋_GBK" w:cs="方正仿宋_GBK"/>
          <w:color w:val="auto"/>
          <w:sz w:val="32"/>
          <w:szCs w:val="32"/>
          <w:shd w:val="clear" w:color="auto" w:fill="FFFFFF"/>
        </w:rPr>
        <w:t>（</w:t>
      </w:r>
      <w:r>
        <w:rPr>
          <w:rFonts w:hint="eastAsia" w:ascii="方正仿宋_GBK" w:hAnsi="方正仿宋_GBK" w:eastAsia="方正仿宋_GBK" w:cs="方正仿宋_GBK"/>
          <w:color w:val="auto"/>
          <w:sz w:val="32"/>
          <w:szCs w:val="32"/>
          <w:shd w:val="clear" w:color="auto" w:fill="FFFFFF"/>
          <w:lang w:val="en-US" w:eastAsia="zh-CN"/>
        </w:rPr>
        <w:t>2</w:t>
      </w:r>
      <w:r>
        <w:rPr>
          <w:rFonts w:ascii="方正仿宋_GBK" w:hAnsi="方正仿宋_GBK" w:eastAsia="方正仿宋_GBK" w:cs="方正仿宋_GBK"/>
          <w:color w:val="auto"/>
          <w:sz w:val="32"/>
          <w:szCs w:val="32"/>
          <w:shd w:val="clear" w:color="auto" w:fill="FFFFFF"/>
        </w:rPr>
        <w:t>）卫生健康支出</w:t>
      </w:r>
      <w:r>
        <w:rPr>
          <w:rFonts w:ascii="方正仿宋_GBK" w:hAnsi="方正仿宋_GBK" w:eastAsia="方正仿宋_GBK" w:cs="方正仿宋_GBK"/>
          <w:color w:val="auto"/>
          <w:sz w:val="32"/>
          <w:szCs w:val="32"/>
        </w:rPr>
        <w:t>1.78</w:t>
      </w:r>
      <w:r>
        <w:rPr>
          <w:rFonts w:ascii="方正仿宋_GBK" w:hAnsi="方正仿宋_GBK" w:eastAsia="方正仿宋_GBK" w:cs="方正仿宋_GBK"/>
          <w:color w:val="auto"/>
          <w:sz w:val="32"/>
          <w:szCs w:val="32"/>
          <w:shd w:val="clear" w:color="auto" w:fill="FFFFFF"/>
        </w:rPr>
        <w:t>万元，占</w:t>
      </w:r>
      <w:r>
        <w:rPr>
          <w:rFonts w:ascii="方正仿宋_GBK" w:hAnsi="方正仿宋_GBK" w:eastAsia="方正仿宋_GBK" w:cs="方正仿宋_GBK"/>
          <w:color w:val="auto"/>
          <w:sz w:val="32"/>
          <w:szCs w:val="32"/>
        </w:rPr>
        <w:t>5.39</w:t>
      </w:r>
      <w:r>
        <w:rPr>
          <w:rFonts w:ascii="方正仿宋_GBK" w:hAnsi="方正仿宋_GBK" w:eastAsia="方正仿宋_GBK" w:cs="方正仿宋_GBK"/>
          <w:color w:val="auto"/>
          <w:sz w:val="32"/>
          <w:szCs w:val="32"/>
          <w:shd w:val="clear" w:color="auto" w:fill="FFFFFF"/>
        </w:rPr>
        <w:t>%，较年初预算数无增减，主要原因是</w:t>
      </w:r>
      <w:r>
        <w:rPr>
          <w:rFonts w:hint="eastAsia" w:ascii="方正仿宋_GBK" w:hAnsi="方正仿宋_GBK" w:eastAsia="方正仿宋_GBK" w:cs="方正仿宋_GBK"/>
          <w:color w:val="auto"/>
          <w:sz w:val="32"/>
          <w:szCs w:val="32"/>
          <w:shd w:val="clear" w:color="auto" w:fill="FFFFFF"/>
        </w:rPr>
        <w:t>严格按照人员数量及工资标准预算支出人员医疗保险缴费。</w:t>
      </w:r>
    </w:p>
    <w:p>
      <w:pPr>
        <w:ind w:firstLine="640" w:firstLineChars="200"/>
        <w:rPr>
          <w:rFonts w:hint="eastAsia" w:ascii="方正仿宋_GBK" w:hAnsi="方正仿宋_GBK" w:eastAsia="方正仿宋_GBK" w:cs="方正仿宋_GBK"/>
          <w:color w:val="auto"/>
          <w:sz w:val="32"/>
          <w:szCs w:val="32"/>
          <w:shd w:val="clear" w:color="auto" w:fill="FFFFFF"/>
        </w:rPr>
      </w:pPr>
      <w:r>
        <w:rPr>
          <w:rFonts w:ascii="方正仿宋_GBK" w:hAnsi="方正仿宋_GBK" w:eastAsia="方正仿宋_GBK" w:cs="方正仿宋_GBK"/>
          <w:color w:val="auto"/>
          <w:sz w:val="32"/>
          <w:szCs w:val="32"/>
          <w:shd w:val="clear" w:color="auto" w:fill="FFFFFF"/>
        </w:rPr>
        <w:t>（</w:t>
      </w:r>
      <w:r>
        <w:rPr>
          <w:rFonts w:hint="eastAsia" w:ascii="方正仿宋_GBK" w:hAnsi="方正仿宋_GBK" w:eastAsia="方正仿宋_GBK" w:cs="方正仿宋_GBK"/>
          <w:color w:val="auto"/>
          <w:sz w:val="32"/>
          <w:szCs w:val="32"/>
          <w:shd w:val="clear" w:color="auto" w:fill="FFFFFF"/>
          <w:lang w:val="en-US" w:eastAsia="zh-CN"/>
        </w:rPr>
        <w:t>3</w:t>
      </w:r>
      <w:r>
        <w:rPr>
          <w:rFonts w:ascii="方正仿宋_GBK" w:hAnsi="方正仿宋_GBK" w:eastAsia="方正仿宋_GBK" w:cs="方正仿宋_GBK"/>
          <w:color w:val="auto"/>
          <w:sz w:val="32"/>
          <w:szCs w:val="32"/>
          <w:shd w:val="clear" w:color="auto" w:fill="FFFFFF"/>
        </w:rPr>
        <w:t>）</w:t>
      </w:r>
      <w:r>
        <w:rPr>
          <w:rFonts w:ascii="方正仿宋_GBK" w:hAnsi="方正仿宋_GBK" w:eastAsia="方正仿宋_GBK" w:cs="方正仿宋_GBK"/>
          <w:color w:val="auto"/>
          <w:sz w:val="32"/>
          <w:szCs w:val="32"/>
        </w:rPr>
        <w:t>住房保障支出1.75</w:t>
      </w:r>
      <w:r>
        <w:rPr>
          <w:rFonts w:ascii="方正仿宋_GBK" w:hAnsi="方正仿宋_GBK" w:eastAsia="方正仿宋_GBK" w:cs="方正仿宋_GBK"/>
          <w:color w:val="auto"/>
          <w:sz w:val="32"/>
          <w:szCs w:val="32"/>
          <w:shd w:val="clear" w:color="auto" w:fill="FFFFFF"/>
        </w:rPr>
        <w:t>万元，占</w:t>
      </w:r>
      <w:r>
        <w:rPr>
          <w:rFonts w:ascii="方正仿宋_GBK" w:hAnsi="方正仿宋_GBK" w:eastAsia="方正仿宋_GBK" w:cs="方正仿宋_GBK"/>
          <w:color w:val="auto"/>
          <w:sz w:val="32"/>
          <w:szCs w:val="32"/>
        </w:rPr>
        <w:t>5.31</w:t>
      </w:r>
      <w:r>
        <w:rPr>
          <w:rFonts w:ascii="方正仿宋_GBK" w:hAnsi="方正仿宋_GBK" w:eastAsia="方正仿宋_GBK" w:cs="方正仿宋_GBK"/>
          <w:color w:val="auto"/>
          <w:sz w:val="32"/>
          <w:szCs w:val="32"/>
          <w:shd w:val="clear" w:color="auto" w:fill="FFFFFF"/>
        </w:rPr>
        <w:t>%，较年初预算数无增减，主要原因是</w:t>
      </w:r>
      <w:r>
        <w:rPr>
          <w:rFonts w:hint="eastAsia" w:ascii="方正仿宋_GBK" w:hAnsi="方正仿宋_GBK" w:eastAsia="方正仿宋_GBK" w:cs="方正仿宋_GBK"/>
          <w:color w:val="auto"/>
          <w:sz w:val="32"/>
          <w:szCs w:val="32"/>
          <w:shd w:val="clear" w:color="auto" w:fill="FFFFFF"/>
        </w:rPr>
        <w:t>严格按照人员数量及工资标准预算支出人员住房公积金缴费。</w:t>
      </w:r>
    </w:p>
    <w:p>
      <w:pPr>
        <w:pStyle w:val="11"/>
        <w:autoSpaceDE w:val="0"/>
        <w:ind w:firstLine="643"/>
        <w:rPr>
          <w:rFonts w:ascii="楷体" w:hAnsi="楷体" w:eastAsia="楷体" w:cs="楷体"/>
          <w:b/>
          <w:bCs/>
          <w:color w:val="auto"/>
          <w:sz w:val="32"/>
          <w:szCs w:val="32"/>
          <w:shd w:val="clear" w:color="auto" w:fill="FFFFFF"/>
        </w:rPr>
      </w:pPr>
      <w:r>
        <w:rPr>
          <w:rFonts w:hint="eastAsia" w:ascii="楷体" w:hAnsi="楷体" w:eastAsia="楷体" w:cs="楷体"/>
          <w:b/>
          <w:bCs/>
          <w:color w:val="auto"/>
          <w:sz w:val="32"/>
          <w:szCs w:val="32"/>
          <w:shd w:val="clear" w:color="auto" w:fill="FFFFFF"/>
        </w:rPr>
        <w:t>（四）一般公共预算财政拨款基本支出决算情况说明</w:t>
      </w:r>
    </w:p>
    <w:p>
      <w:pPr>
        <w:pStyle w:val="6"/>
        <w:snapToGrid w:val="0"/>
        <w:spacing w:before="0" w:beforeAutospacing="0" w:after="0" w:afterAutospacing="0" w:line="600" w:lineRule="exact"/>
        <w:ind w:firstLine="640" w:firstLineChars="200"/>
        <w:jc w:val="both"/>
        <w:rPr>
          <w:rFonts w:hint="default" w:ascii="方正仿宋_GBK" w:hAnsi="方正仿宋_GBK" w:eastAsia="方正仿宋_GBK" w:cs="方正仿宋_GBK"/>
          <w:color w:val="auto"/>
          <w:sz w:val="32"/>
          <w:szCs w:val="32"/>
        </w:rPr>
      </w:pPr>
      <w:r>
        <w:rPr>
          <w:rFonts w:ascii="方正仿宋_GBK" w:hAnsi="方正仿宋_GBK" w:eastAsia="方正仿宋_GBK" w:cs="方正仿宋_GBK"/>
          <w:color w:val="auto"/>
          <w:sz w:val="32"/>
          <w:szCs w:val="32"/>
          <w:shd w:val="clear" w:color="auto" w:fill="FFFFFF"/>
        </w:rPr>
        <w:t> 2023年度一般公共财政拨款基本支出</w:t>
      </w:r>
      <w:r>
        <w:rPr>
          <w:rFonts w:ascii="方正仿宋_GBK" w:hAnsi="方正仿宋_GBK" w:eastAsia="方正仿宋_GBK" w:cs="方正仿宋_GBK"/>
          <w:color w:val="auto"/>
          <w:sz w:val="32"/>
          <w:szCs w:val="32"/>
        </w:rPr>
        <w:t>33.06</w:t>
      </w:r>
      <w:r>
        <w:rPr>
          <w:rFonts w:ascii="方正仿宋_GBK" w:hAnsi="方正仿宋_GBK" w:eastAsia="方正仿宋_GBK" w:cs="方正仿宋_GBK"/>
          <w:color w:val="auto"/>
          <w:sz w:val="32"/>
          <w:szCs w:val="32"/>
          <w:shd w:val="clear" w:color="auto" w:fill="FFFFFF"/>
        </w:rPr>
        <w:t>万元。其中：人员经费</w:t>
      </w:r>
      <w:r>
        <w:rPr>
          <w:rFonts w:ascii="方正仿宋_GBK" w:hAnsi="方正仿宋_GBK" w:eastAsia="方正仿宋_GBK" w:cs="方正仿宋_GBK"/>
          <w:color w:val="auto"/>
          <w:sz w:val="32"/>
          <w:szCs w:val="32"/>
        </w:rPr>
        <w:t>32.11</w:t>
      </w:r>
      <w:r>
        <w:rPr>
          <w:rFonts w:ascii="方正仿宋_GBK" w:hAnsi="方正仿宋_GBK" w:eastAsia="方正仿宋_GBK" w:cs="方正仿宋_GBK"/>
          <w:color w:val="auto"/>
          <w:sz w:val="32"/>
          <w:szCs w:val="32"/>
          <w:shd w:val="clear" w:color="auto" w:fill="FFFFFF"/>
        </w:rPr>
        <w:t>万元，较上年决算数增加32.11万元，增长100.00%，主要原因是</w:t>
      </w:r>
      <w:r>
        <w:rPr>
          <w:rFonts w:hint="eastAsia" w:ascii="方正仿宋_GBK" w:hAnsi="方正仿宋_GBK" w:eastAsia="方正仿宋_GBK" w:cs="方正仿宋_GBK"/>
          <w:color w:val="auto"/>
          <w:sz w:val="32"/>
          <w:szCs w:val="32"/>
          <w:shd w:val="clear" w:color="auto" w:fill="FFFFFF"/>
        </w:rPr>
        <w:t>2022年是行政和7个下属事业单位汇总编报，2023年为各单位单独填报。</w:t>
      </w:r>
      <w:r>
        <w:rPr>
          <w:rFonts w:ascii="方正仿宋_GBK" w:hAnsi="方正仿宋_GBK" w:eastAsia="方正仿宋_GBK" w:cs="方正仿宋_GBK"/>
          <w:color w:val="auto"/>
          <w:sz w:val="32"/>
          <w:szCs w:val="32"/>
          <w:shd w:val="clear" w:color="auto" w:fill="FFFFFF"/>
        </w:rPr>
        <w:t>人员经费用途主要包括</w:t>
      </w:r>
      <w:r>
        <w:rPr>
          <w:rFonts w:hint="eastAsia" w:ascii="方正仿宋_GBK" w:hAnsi="方正仿宋_GBK" w:eastAsia="方正仿宋_GBK" w:cs="方正仿宋_GBK"/>
          <w:color w:val="auto"/>
          <w:sz w:val="32"/>
          <w:szCs w:val="32"/>
          <w:shd w:val="clear" w:color="auto" w:fill="FFFFFF"/>
        </w:rPr>
        <w:t>基本工资、津贴补贴、绩效工资、社会保障缴费、住房公积金。</w:t>
      </w:r>
      <w:r>
        <w:rPr>
          <w:rFonts w:ascii="方正仿宋_GBK" w:hAnsi="方正仿宋_GBK" w:eastAsia="方正仿宋_GBK" w:cs="方正仿宋_GBK"/>
          <w:color w:val="auto"/>
          <w:sz w:val="32"/>
          <w:szCs w:val="32"/>
          <w:shd w:val="clear" w:color="auto" w:fill="FFFFFF"/>
        </w:rPr>
        <w:t>公用经费</w:t>
      </w:r>
      <w:r>
        <w:rPr>
          <w:rFonts w:ascii="方正仿宋_GBK" w:hAnsi="方正仿宋_GBK" w:eastAsia="方正仿宋_GBK" w:cs="方正仿宋_GBK"/>
          <w:color w:val="auto"/>
          <w:sz w:val="32"/>
          <w:szCs w:val="32"/>
        </w:rPr>
        <w:t>0.95</w:t>
      </w:r>
      <w:r>
        <w:rPr>
          <w:rFonts w:ascii="方正仿宋_GBK" w:hAnsi="方正仿宋_GBK" w:eastAsia="方正仿宋_GBK" w:cs="方正仿宋_GBK"/>
          <w:color w:val="auto"/>
          <w:sz w:val="32"/>
          <w:szCs w:val="32"/>
          <w:shd w:val="clear" w:color="auto" w:fill="FFFFFF"/>
        </w:rPr>
        <w:t>万元，较上年决算数增加0.95万元，增长100.00%，主要原因是</w:t>
      </w:r>
      <w:r>
        <w:rPr>
          <w:rFonts w:hint="eastAsia" w:ascii="方正仿宋_GBK" w:hAnsi="方正仿宋_GBK" w:eastAsia="方正仿宋_GBK" w:cs="方正仿宋_GBK"/>
          <w:color w:val="auto"/>
          <w:sz w:val="32"/>
          <w:szCs w:val="32"/>
          <w:shd w:val="clear" w:color="auto" w:fill="FFFFFF"/>
        </w:rPr>
        <w:t>2022年是行政和7个下属事业单位汇总编报，2023年为各单位单独填报。</w:t>
      </w:r>
      <w:r>
        <w:rPr>
          <w:rFonts w:ascii="方正仿宋_GBK" w:hAnsi="方正仿宋_GBK" w:eastAsia="方正仿宋_GBK" w:cs="方正仿宋_GBK"/>
          <w:color w:val="auto"/>
          <w:sz w:val="32"/>
          <w:szCs w:val="32"/>
          <w:shd w:val="clear" w:color="auto" w:fill="FFFFFF"/>
        </w:rPr>
        <w:t>公用经费用途主要包括</w:t>
      </w:r>
      <w:r>
        <w:rPr>
          <w:rFonts w:hint="eastAsia" w:ascii="方正仿宋_GBK" w:hAnsi="方正仿宋_GBK" w:eastAsia="方正仿宋_GBK" w:cs="方正仿宋_GBK"/>
          <w:color w:val="auto"/>
          <w:sz w:val="32"/>
          <w:szCs w:val="32"/>
          <w:shd w:val="clear" w:color="auto" w:fill="FFFFFF"/>
        </w:rPr>
        <w:t>工会经费、培训费。</w:t>
      </w:r>
    </w:p>
    <w:p>
      <w:pPr>
        <w:pStyle w:val="11"/>
        <w:autoSpaceDE w:val="0"/>
        <w:ind w:firstLine="643"/>
        <w:rPr>
          <w:rFonts w:ascii="楷体" w:hAnsi="楷体" w:eastAsia="楷体" w:cs="楷体"/>
          <w:b/>
          <w:bCs/>
          <w:sz w:val="32"/>
          <w:szCs w:val="32"/>
          <w:shd w:val="clear" w:color="auto" w:fill="FFFFFF"/>
        </w:rPr>
      </w:pPr>
      <w:r>
        <w:rPr>
          <w:rFonts w:hint="eastAsia" w:ascii="楷体" w:hAnsi="楷体" w:eastAsia="楷体" w:cs="楷体"/>
          <w:b/>
          <w:bCs/>
          <w:sz w:val="32"/>
          <w:szCs w:val="32"/>
          <w:shd w:val="clear" w:color="auto" w:fill="FFFFFF"/>
        </w:rPr>
        <w:t>（五）政府性基金预算收支决算情况说明</w:t>
      </w:r>
    </w:p>
    <w:p>
      <w:pPr>
        <w:pStyle w:val="6"/>
        <w:snapToGrid w:val="0"/>
        <w:spacing w:before="0" w:beforeAutospacing="0" w:after="0" w:afterAutospacing="0" w:line="600" w:lineRule="exact"/>
        <w:ind w:firstLine="643" w:firstLineChars="200"/>
        <w:jc w:val="both"/>
        <w:rPr>
          <w:rFonts w:hint="default" w:ascii="方正仿宋_GBK" w:hAnsi="方正仿宋_GBK" w:eastAsia="方正仿宋_GBK" w:cs="方正仿宋_GBK"/>
          <w:sz w:val="32"/>
          <w:szCs w:val="32"/>
          <w:shd w:val="clear" w:color="auto" w:fill="auto"/>
        </w:rPr>
      </w:pPr>
      <w:r>
        <w:rPr>
          <w:rStyle w:val="10"/>
          <w:rFonts w:ascii="方正仿宋_GBK" w:hAnsi="方正仿宋_GBK" w:eastAsia="方正仿宋_GBK" w:cs="方正仿宋_GBK"/>
          <w:sz w:val="32"/>
          <w:szCs w:val="32"/>
          <w:shd w:val="clear" w:color="auto" w:fill="auto"/>
        </w:rPr>
        <w:t>本单位2023年度无政府性基金预算财政拨款收支。</w:t>
      </w:r>
    </w:p>
    <w:p>
      <w:pPr>
        <w:pStyle w:val="11"/>
        <w:autoSpaceDE w:val="0"/>
        <w:ind w:firstLine="643"/>
        <w:rPr>
          <w:rFonts w:ascii="楷体" w:hAnsi="楷体" w:eastAsia="楷体" w:cs="楷体"/>
          <w:b/>
          <w:bCs/>
          <w:sz w:val="32"/>
          <w:szCs w:val="32"/>
          <w:shd w:val="clear" w:color="auto" w:fill="FFFFFF"/>
        </w:rPr>
      </w:pPr>
      <w:r>
        <w:rPr>
          <w:rFonts w:hint="eastAsia" w:ascii="楷体" w:hAnsi="楷体" w:eastAsia="楷体" w:cs="楷体"/>
          <w:b/>
          <w:bCs/>
          <w:sz w:val="32"/>
          <w:szCs w:val="32"/>
          <w:shd w:val="clear" w:color="auto" w:fill="FFFFFF"/>
        </w:rPr>
        <w:t>（六）国有资本经营预算财政拨款支出决算情况说明</w:t>
      </w:r>
    </w:p>
    <w:p>
      <w:pPr>
        <w:pStyle w:val="6"/>
        <w:snapToGrid w:val="0"/>
        <w:spacing w:before="0" w:beforeAutospacing="0" w:after="0" w:afterAutospacing="0" w:line="600" w:lineRule="exact"/>
        <w:ind w:firstLine="643" w:firstLineChars="200"/>
        <w:jc w:val="both"/>
        <w:rPr>
          <w:rFonts w:hint="default" w:ascii="方正仿宋_GBK" w:hAnsi="方正仿宋_GBK" w:eastAsia="方正仿宋_GBK" w:cs="方正仿宋_GBK"/>
          <w:sz w:val="32"/>
          <w:szCs w:val="32"/>
          <w:shd w:val="clear" w:color="auto" w:fill="auto"/>
        </w:rPr>
      </w:pPr>
      <w:r>
        <w:rPr>
          <w:rStyle w:val="10"/>
          <w:rFonts w:ascii="方正仿宋_GBK" w:hAnsi="方正仿宋_GBK" w:eastAsia="方正仿宋_GBK" w:cs="方正仿宋_GBK"/>
          <w:sz w:val="32"/>
          <w:szCs w:val="32"/>
          <w:shd w:val="clear" w:color="auto" w:fill="auto"/>
        </w:rPr>
        <w:t>本单位2023年度无国有资本经营预算财政拨款支出。</w:t>
      </w:r>
    </w:p>
    <w:p>
      <w:pPr>
        <w:pStyle w:val="6"/>
        <w:shd w:val="clear" w:color="auto" w:fill="FFFFFF"/>
        <w:rPr>
          <w:rStyle w:val="10"/>
          <w:rFonts w:hint="default" w:ascii="黑体" w:hAnsi="黑体" w:eastAsia="黑体" w:cs="黑体"/>
          <w:sz w:val="32"/>
          <w:szCs w:val="32"/>
          <w:shd w:val="clear" w:color="auto" w:fill="FFFFFF"/>
        </w:rPr>
      </w:pPr>
      <w:r>
        <w:rPr>
          <w:rStyle w:val="10"/>
          <w:rFonts w:ascii="黑体" w:hAnsi="黑体" w:eastAsia="黑体" w:cs="黑体"/>
          <w:sz w:val="32"/>
          <w:szCs w:val="32"/>
          <w:shd w:val="clear" w:color="auto" w:fill="FFFFFF"/>
        </w:rPr>
        <w:t>三、“三公”经费情况说明</w:t>
      </w:r>
    </w:p>
    <w:p>
      <w:pPr>
        <w:pStyle w:val="11"/>
        <w:autoSpaceDE w:val="0"/>
        <w:ind w:firstLine="643"/>
        <w:rPr>
          <w:rFonts w:ascii="楷体" w:hAnsi="楷体" w:eastAsia="楷体" w:cs="楷体"/>
          <w:b/>
          <w:bCs/>
          <w:sz w:val="32"/>
          <w:szCs w:val="32"/>
          <w:shd w:val="clear" w:color="auto" w:fill="FFFFFF"/>
        </w:rPr>
      </w:pPr>
      <w:r>
        <w:rPr>
          <w:rFonts w:hint="eastAsia" w:ascii="楷体" w:hAnsi="楷体" w:eastAsia="楷体" w:cs="楷体"/>
          <w:b/>
          <w:bCs/>
          <w:sz w:val="32"/>
          <w:szCs w:val="32"/>
          <w:shd w:val="clear" w:color="auto" w:fill="FFFFFF"/>
        </w:rPr>
        <w:t xml:space="preserve"> （一）“三公”经费支出总体情况说明</w:t>
      </w:r>
    </w:p>
    <w:p>
      <w:pPr>
        <w:pStyle w:val="6"/>
        <w:snapToGrid w:val="0"/>
        <w:spacing w:before="0" w:beforeAutospacing="0" w:after="0" w:afterAutospacing="0" w:line="600" w:lineRule="exact"/>
        <w:ind w:firstLine="640" w:firstLineChars="200"/>
        <w:jc w:val="both"/>
        <w:rPr>
          <w:rFonts w:hint="default" w:ascii="方正仿宋_GBK" w:hAnsi="方正仿宋_GBK" w:eastAsia="方正仿宋_GBK" w:cs="方正仿宋_GBK"/>
          <w:color w:val="auto"/>
          <w:sz w:val="32"/>
          <w:szCs w:val="32"/>
        </w:rPr>
      </w:pPr>
      <w:r>
        <w:rPr>
          <w:rFonts w:ascii="方正仿宋_GBK" w:hAnsi="方正仿宋_GBK" w:eastAsia="方正仿宋_GBK" w:cs="方正仿宋_GBK"/>
          <w:color w:val="auto"/>
          <w:sz w:val="32"/>
          <w:szCs w:val="32"/>
          <w:shd w:val="clear" w:color="auto" w:fill="FFFFFF"/>
        </w:rPr>
        <w:t>2023年度“三公”经费支出共计</w:t>
      </w:r>
      <w:r>
        <w:rPr>
          <w:rFonts w:ascii="方正仿宋_GBK" w:hAnsi="方正仿宋_GBK" w:eastAsia="方正仿宋_GBK" w:cs="方正仿宋_GBK"/>
          <w:color w:val="auto"/>
          <w:sz w:val="32"/>
          <w:szCs w:val="32"/>
        </w:rPr>
        <w:t>0.00</w:t>
      </w:r>
      <w:r>
        <w:rPr>
          <w:rFonts w:ascii="方正仿宋_GBK" w:hAnsi="方正仿宋_GBK" w:eastAsia="方正仿宋_GBK" w:cs="方正仿宋_GBK"/>
          <w:color w:val="auto"/>
          <w:sz w:val="32"/>
          <w:szCs w:val="32"/>
          <w:shd w:val="clear" w:color="auto" w:fill="FFFFFF"/>
        </w:rPr>
        <w:t>万元，较年初预算数无增减，主要原因是</w:t>
      </w:r>
      <w:r>
        <w:rPr>
          <w:rFonts w:hint="eastAsia" w:ascii="方正仿宋_GBK" w:hAnsi="方正仿宋_GBK" w:eastAsia="方正仿宋_GBK" w:cs="方正仿宋_GBK"/>
          <w:color w:val="auto"/>
          <w:sz w:val="32"/>
          <w:szCs w:val="32"/>
          <w:shd w:val="clear" w:color="auto" w:fill="FFFFFF"/>
        </w:rPr>
        <w:t>本单位与行政单位合署办公，年初编制预算时统一将办公经费编制在行政单位账套下，因此未有单独体现。</w:t>
      </w:r>
    </w:p>
    <w:p>
      <w:pPr>
        <w:pStyle w:val="11"/>
        <w:autoSpaceDE w:val="0"/>
        <w:ind w:firstLine="643"/>
        <w:rPr>
          <w:rFonts w:ascii="楷体" w:hAnsi="楷体" w:eastAsia="楷体" w:cs="楷体"/>
          <w:b/>
          <w:bCs/>
          <w:sz w:val="32"/>
          <w:szCs w:val="32"/>
          <w:shd w:val="clear" w:color="auto" w:fill="FFFFFF"/>
        </w:rPr>
      </w:pPr>
      <w:r>
        <w:rPr>
          <w:rFonts w:hint="eastAsia" w:ascii="楷体" w:hAnsi="楷体" w:eastAsia="楷体" w:cs="楷体"/>
          <w:b/>
          <w:bCs/>
          <w:sz w:val="32"/>
          <w:szCs w:val="32"/>
          <w:shd w:val="clear" w:color="auto" w:fill="FFFFFF"/>
        </w:rPr>
        <w:t>（二）“三公”经费分项支出情况</w:t>
      </w:r>
    </w:p>
    <w:p>
      <w:pPr>
        <w:pStyle w:val="11"/>
        <w:autoSpaceDE w:val="0"/>
        <w:ind w:firstLine="643"/>
        <w:rPr>
          <w:rFonts w:ascii="楷体" w:hAnsi="楷体" w:eastAsia="楷体" w:cs="楷体"/>
          <w:b/>
          <w:bCs/>
          <w:sz w:val="32"/>
          <w:szCs w:val="32"/>
          <w:shd w:val="clear" w:color="auto" w:fill="FFFFFF"/>
        </w:rPr>
      </w:pPr>
      <w:r>
        <w:rPr>
          <w:rFonts w:hint="eastAsia" w:ascii="方正仿宋_GBK" w:hAnsi="方正仿宋_GBK" w:eastAsia="方正仿宋_GBK" w:cs="方正仿宋_GBK"/>
          <w:sz w:val="32"/>
          <w:szCs w:val="32"/>
          <w:shd w:val="clear" w:color="auto" w:fill="FFFFFF"/>
        </w:rPr>
        <w:t>本单位与行政单位合署办公，年初编制预算及使用时统一将因公出国（境）费用、公务车购置费、公务车运行维护费、公务接待费编制在行政单位账套下，因此未有单独体现。</w:t>
      </w:r>
      <w:r>
        <w:rPr>
          <w:rFonts w:hint="eastAsia" w:ascii="楷体" w:hAnsi="楷体" w:eastAsia="楷体" w:cs="楷体"/>
          <w:b/>
          <w:bCs/>
          <w:sz w:val="32"/>
          <w:szCs w:val="32"/>
          <w:shd w:val="clear" w:color="auto" w:fill="FFFFFF"/>
        </w:rPr>
        <w:t>（三）“三公”经费实物量情况</w:t>
      </w:r>
    </w:p>
    <w:p>
      <w:pPr>
        <w:pStyle w:val="6"/>
        <w:snapToGrid w:val="0"/>
        <w:spacing w:before="0" w:beforeAutospacing="0" w:after="0" w:afterAutospacing="0" w:line="600" w:lineRule="exact"/>
        <w:ind w:firstLine="640" w:firstLineChars="200"/>
        <w:jc w:val="both"/>
        <w:rPr>
          <w:rFonts w:hint="default" w:ascii="方正仿宋_GBK" w:hAnsi="方正仿宋_GBK" w:eastAsia="方正仿宋_GBK" w:cs="方正仿宋_GBK"/>
          <w:sz w:val="32"/>
          <w:szCs w:val="32"/>
        </w:rPr>
      </w:pPr>
      <w:r>
        <w:rPr>
          <w:rFonts w:ascii="方正仿宋_GBK" w:hAnsi="方正仿宋_GBK" w:eastAsia="方正仿宋_GBK" w:cs="方正仿宋_GBK"/>
          <w:sz w:val="32"/>
          <w:szCs w:val="32"/>
          <w:shd w:val="clear" w:color="auto" w:fill="FFFFFF"/>
        </w:rPr>
        <w:t>  2023年度本单位因公出国（境）共计</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个团组，</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人；公务用车购置</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辆，公务车保有量为</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辆；国内公务接待</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批次</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人，其中：国内外事接待</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批次，</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人；国（境）外公务接待</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批次，</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人。2023年本单位人均接待费</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元，车均购置费</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万元，车均维护费</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万元。</w:t>
      </w:r>
    </w:p>
    <w:p>
      <w:pPr>
        <w:pStyle w:val="6"/>
        <w:shd w:val="clear" w:color="auto" w:fill="FFFFFF"/>
        <w:rPr>
          <w:rStyle w:val="10"/>
          <w:rFonts w:hint="default" w:ascii="方正仿宋_GBK" w:hAnsi="方正仿宋_GBK" w:eastAsia="方正仿宋_GBK" w:cs="方正仿宋_GBK"/>
          <w:sz w:val="32"/>
          <w:szCs w:val="32"/>
          <w:shd w:val="clear" w:color="auto" w:fill="FFFFFF"/>
        </w:rPr>
      </w:pPr>
      <w:r>
        <w:rPr>
          <w:rStyle w:val="10"/>
          <w:rFonts w:ascii="黑体" w:hAnsi="黑体" w:eastAsia="黑体" w:cs="黑体"/>
          <w:sz w:val="32"/>
          <w:szCs w:val="32"/>
          <w:shd w:val="clear" w:color="auto" w:fill="FFFFFF"/>
        </w:rPr>
        <w:t>四、其他需要说明的事项</w:t>
      </w:r>
    </w:p>
    <w:p>
      <w:pPr>
        <w:pStyle w:val="11"/>
        <w:autoSpaceDE w:val="0"/>
        <w:ind w:firstLine="643"/>
        <w:rPr>
          <w:rFonts w:ascii="楷体" w:hAnsi="楷体" w:eastAsia="楷体" w:cs="楷体"/>
          <w:b/>
          <w:bCs/>
          <w:sz w:val="32"/>
          <w:szCs w:val="32"/>
          <w:shd w:val="clear" w:color="auto" w:fill="FFFFFF"/>
        </w:rPr>
      </w:pPr>
      <w:r>
        <w:rPr>
          <w:rFonts w:hint="eastAsia" w:ascii="楷体" w:hAnsi="楷体" w:eastAsia="楷体" w:cs="楷体"/>
          <w:b/>
          <w:bCs/>
          <w:sz w:val="32"/>
          <w:szCs w:val="32"/>
          <w:shd w:val="clear" w:color="auto" w:fill="FFFFFF"/>
        </w:rPr>
        <w:t>  （一）财政拨款会议费和培训费情况说明</w:t>
      </w:r>
    </w:p>
    <w:p>
      <w:pPr>
        <w:pStyle w:val="6"/>
        <w:snapToGrid w:val="0"/>
        <w:spacing w:before="0" w:beforeAutospacing="0" w:after="0" w:afterAutospacing="0" w:line="600" w:lineRule="exact"/>
        <w:ind w:firstLine="640" w:firstLineChars="200"/>
        <w:jc w:val="both"/>
        <w:rPr>
          <w:rFonts w:hint="default" w:ascii="方正仿宋_GBK" w:hAnsi="方正仿宋_GBK" w:eastAsia="方正仿宋_GBK" w:cs="方正仿宋_GBK"/>
          <w:sz w:val="32"/>
          <w:szCs w:val="32"/>
          <w:shd w:val="clear" w:color="auto" w:fill="FFFFFF"/>
        </w:rPr>
      </w:pPr>
      <w:r>
        <w:rPr>
          <w:rFonts w:ascii="方正仿宋_GBK" w:hAnsi="方正仿宋_GBK" w:eastAsia="方正仿宋_GBK" w:cs="方正仿宋_GBK"/>
          <w:sz w:val="32"/>
          <w:szCs w:val="32"/>
          <w:shd w:val="clear" w:color="auto" w:fill="FFFFFF"/>
        </w:rPr>
        <w:t>  本年度会议费支出</w:t>
      </w:r>
      <w:r>
        <w:rPr>
          <w:rFonts w:ascii="方正仿宋_GBK" w:hAnsi="方正仿宋_GBK" w:eastAsia="方正仿宋_GBK" w:cs="方正仿宋_GBK"/>
          <w:sz w:val="32"/>
          <w:szCs w:val="32"/>
        </w:rPr>
        <w:t>0.00</w:t>
      </w:r>
      <w:r>
        <w:rPr>
          <w:rFonts w:ascii="方正仿宋_GBK" w:hAnsi="方正仿宋_GBK" w:eastAsia="方正仿宋_GBK" w:cs="方正仿宋_GBK"/>
          <w:sz w:val="32"/>
          <w:szCs w:val="32"/>
          <w:shd w:val="clear" w:color="auto" w:fill="FFFFFF"/>
        </w:rPr>
        <w:t>万元，较上年决算数无增减。本年度培训费支出</w:t>
      </w:r>
      <w:r>
        <w:rPr>
          <w:rFonts w:ascii="方正仿宋_GBK" w:hAnsi="方正仿宋_GBK" w:eastAsia="方正仿宋_GBK" w:cs="方正仿宋_GBK"/>
          <w:sz w:val="32"/>
          <w:szCs w:val="32"/>
        </w:rPr>
        <w:t>0.02</w:t>
      </w:r>
      <w:r>
        <w:rPr>
          <w:rFonts w:ascii="方正仿宋_GBK" w:hAnsi="方正仿宋_GBK" w:eastAsia="方正仿宋_GBK" w:cs="方正仿宋_GBK"/>
          <w:sz w:val="32"/>
          <w:szCs w:val="32"/>
          <w:shd w:val="clear" w:color="auto" w:fill="FFFFFF"/>
        </w:rPr>
        <w:t>万元，较上年决算数增加0.02万元，增长100.00%，主要原因是</w:t>
      </w:r>
      <w:r>
        <w:rPr>
          <w:rFonts w:hint="eastAsia" w:ascii="方正仿宋_GBK" w:hAnsi="方正仿宋_GBK" w:eastAsia="方正仿宋_GBK" w:cs="方正仿宋_GBK"/>
          <w:sz w:val="32"/>
          <w:szCs w:val="32"/>
          <w:shd w:val="clear" w:color="auto" w:fill="FFFFFF"/>
        </w:rPr>
        <w:t>2022年是行政和7个下属事业单位汇总编报，2023年为各单位单独填报。</w:t>
      </w:r>
    </w:p>
    <w:p>
      <w:pPr>
        <w:pStyle w:val="11"/>
        <w:autoSpaceDE w:val="0"/>
        <w:ind w:firstLine="643"/>
        <w:rPr>
          <w:rFonts w:ascii="楷体" w:hAnsi="楷体" w:eastAsia="楷体" w:cs="楷体"/>
          <w:b/>
          <w:bCs/>
          <w:sz w:val="32"/>
          <w:szCs w:val="32"/>
          <w:shd w:val="clear" w:color="auto" w:fill="FFFFFF"/>
        </w:rPr>
      </w:pPr>
      <w:r>
        <w:rPr>
          <w:rFonts w:hint="eastAsia" w:ascii="楷体" w:hAnsi="楷体" w:eastAsia="楷体" w:cs="楷体"/>
          <w:b/>
          <w:bCs/>
          <w:sz w:val="32"/>
          <w:szCs w:val="32"/>
          <w:shd w:val="clear" w:color="auto" w:fill="FFFFFF"/>
        </w:rPr>
        <w:t>（二）机关运行经费情况说明</w:t>
      </w:r>
    </w:p>
    <w:p>
      <w:pPr>
        <w:pStyle w:val="11"/>
        <w:autoSpaceDE w:val="0"/>
        <w:ind w:firstLine="643"/>
        <w:rPr>
          <w:rFonts w:hint="eastAsia" w:ascii="方正仿宋_GBK" w:hAnsi="方正仿宋_GBK" w:eastAsia="方正仿宋_GBK" w:cs="方正仿宋_GBK"/>
          <w:sz w:val="32"/>
          <w:szCs w:val="32"/>
          <w:shd w:val="clear" w:color="auto" w:fill="FFFFFF"/>
        </w:rPr>
      </w:pPr>
      <w:r>
        <w:rPr>
          <w:rFonts w:hint="eastAsia" w:ascii="方正仿宋_GBK" w:hAnsi="方正仿宋_GBK" w:eastAsia="方正仿宋_GBK" w:cs="方正仿宋_GBK"/>
          <w:sz w:val="32"/>
          <w:szCs w:val="32"/>
          <w:shd w:val="clear" w:color="auto" w:fill="FFFFFF"/>
        </w:rPr>
        <w:t>按照部门决算列报口径，我单位不在机关运行经费统计范围之内。</w:t>
      </w:r>
    </w:p>
    <w:p>
      <w:pPr>
        <w:pStyle w:val="11"/>
        <w:autoSpaceDE w:val="0"/>
        <w:ind w:firstLine="643"/>
        <w:rPr>
          <w:rFonts w:ascii="楷体" w:hAnsi="楷体" w:eastAsia="楷体" w:cs="楷体"/>
          <w:b/>
          <w:bCs/>
          <w:sz w:val="32"/>
          <w:szCs w:val="32"/>
          <w:shd w:val="clear" w:color="auto" w:fill="FFFFFF"/>
        </w:rPr>
      </w:pPr>
      <w:r>
        <w:rPr>
          <w:rFonts w:hint="eastAsia" w:ascii="楷体" w:hAnsi="楷体" w:eastAsia="楷体" w:cs="楷体"/>
          <w:b/>
          <w:bCs/>
          <w:sz w:val="32"/>
          <w:szCs w:val="32"/>
          <w:shd w:val="clear" w:color="auto" w:fill="FFFFFF"/>
        </w:rPr>
        <w:t>（三）国有资产占用情况说明</w:t>
      </w:r>
    </w:p>
    <w:p>
      <w:pPr>
        <w:pStyle w:val="6"/>
        <w:snapToGrid w:val="0"/>
        <w:spacing w:before="0" w:beforeAutospacing="0" w:after="0" w:afterAutospacing="0" w:line="600" w:lineRule="exact"/>
        <w:ind w:firstLine="640" w:firstLineChars="200"/>
        <w:jc w:val="both"/>
        <w:rPr>
          <w:rFonts w:hint="default" w:ascii="方正仿宋_GBK" w:hAnsi="方正仿宋_GBK" w:eastAsia="方正仿宋_GBK" w:cs="方正仿宋_GBK"/>
          <w:sz w:val="32"/>
          <w:szCs w:val="32"/>
        </w:rPr>
      </w:pPr>
      <w:r>
        <w:rPr>
          <w:rFonts w:ascii="方正仿宋_GBK" w:hAnsi="方正仿宋_GBK" w:eastAsia="方正仿宋_GBK" w:cs="方正仿宋_GBK"/>
          <w:sz w:val="32"/>
          <w:szCs w:val="32"/>
          <w:shd w:val="clear" w:color="auto" w:fill="FFFFFF"/>
        </w:rPr>
        <w:t>  截至2023年12月31日，本单位共有车辆</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辆，其中，副部（省）级及以上领导用车</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辆、主要负责人用车</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辆、机要通信用车</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辆、应急保障用车</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辆、执法执勤用车</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辆，特种专业技术用车</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辆，离退休干部用车</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辆。单价100万元（含）以上专用设备</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台（套）。</w:t>
      </w:r>
    </w:p>
    <w:p>
      <w:pPr>
        <w:pStyle w:val="11"/>
        <w:autoSpaceDE w:val="0"/>
        <w:ind w:firstLine="643"/>
        <w:rPr>
          <w:rFonts w:ascii="楷体" w:hAnsi="楷体" w:eastAsia="楷体" w:cs="楷体"/>
          <w:b/>
          <w:bCs/>
          <w:color w:val="auto"/>
          <w:sz w:val="32"/>
          <w:szCs w:val="32"/>
          <w:shd w:val="clear" w:color="auto" w:fill="FFFFFF"/>
        </w:rPr>
      </w:pPr>
      <w:r>
        <w:rPr>
          <w:rFonts w:hint="eastAsia" w:ascii="楷体" w:hAnsi="楷体" w:eastAsia="楷体" w:cs="楷体"/>
          <w:b/>
          <w:bCs/>
          <w:color w:val="auto"/>
          <w:sz w:val="32"/>
          <w:szCs w:val="32"/>
          <w:shd w:val="clear" w:color="auto" w:fill="FFFFFF"/>
        </w:rPr>
        <w:t>（四）政府采购支出情况说明</w:t>
      </w:r>
    </w:p>
    <w:p>
      <w:pPr>
        <w:pStyle w:val="6"/>
        <w:snapToGrid w:val="0"/>
        <w:spacing w:before="0" w:beforeAutospacing="0" w:after="0" w:afterAutospacing="0" w:line="600" w:lineRule="exact"/>
        <w:ind w:firstLine="640" w:firstLineChars="200"/>
        <w:jc w:val="both"/>
        <w:rPr>
          <w:rFonts w:hint="default" w:ascii="方正仿宋_GBK" w:hAnsi="方正仿宋_GBK" w:eastAsia="方正仿宋_GBK" w:cs="方正仿宋_GBK"/>
          <w:color w:val="auto"/>
          <w:sz w:val="32"/>
          <w:szCs w:val="32"/>
          <w:shd w:val="clear" w:color="auto" w:fill="FFFFFF"/>
        </w:rPr>
      </w:pPr>
      <w:r>
        <w:rPr>
          <w:rFonts w:ascii="方正仿宋_GBK" w:hAnsi="方正仿宋_GBK" w:eastAsia="方正仿宋_GBK" w:cs="方正仿宋_GBK"/>
          <w:color w:val="auto"/>
          <w:sz w:val="32"/>
          <w:szCs w:val="32"/>
          <w:shd w:val="clear" w:color="auto" w:fill="FFFFFF"/>
        </w:rPr>
        <w:t>2023年度我单位未发生政府采购事项，无相关经费支出。</w:t>
      </w:r>
    </w:p>
    <w:p>
      <w:pPr>
        <w:pStyle w:val="6"/>
        <w:numPr>
          <w:ilvl w:val="0"/>
          <w:numId w:val="1"/>
        </w:numPr>
        <w:shd w:val="clear" w:color="auto" w:fill="FFFFFF"/>
        <w:rPr>
          <w:rStyle w:val="10"/>
          <w:rFonts w:hint="default" w:ascii="黑体" w:hAnsi="黑体" w:eastAsia="黑体" w:cs="黑体"/>
          <w:sz w:val="32"/>
          <w:szCs w:val="32"/>
          <w:shd w:val="clear" w:color="auto" w:fill="FFFFFF"/>
        </w:rPr>
      </w:pPr>
      <w:r>
        <w:rPr>
          <w:rStyle w:val="10"/>
          <w:rFonts w:ascii="黑体" w:hAnsi="黑体" w:eastAsia="黑体" w:cs="黑体"/>
          <w:color w:val="auto"/>
          <w:sz w:val="32"/>
          <w:szCs w:val="32"/>
          <w:shd w:val="clear" w:color="auto" w:fill="FFFFFF"/>
        </w:rPr>
        <w:t>预算</w:t>
      </w:r>
      <w:r>
        <w:rPr>
          <w:rStyle w:val="10"/>
          <w:rFonts w:ascii="黑体" w:hAnsi="黑体" w:eastAsia="黑体" w:cs="黑体"/>
          <w:sz w:val="32"/>
          <w:szCs w:val="32"/>
          <w:shd w:val="clear" w:color="auto" w:fill="FFFFFF"/>
        </w:rPr>
        <w:t>绩效管理情况说明</w:t>
      </w:r>
    </w:p>
    <w:p>
      <w:pPr>
        <w:pStyle w:val="11"/>
        <w:autoSpaceDE w:val="0"/>
        <w:ind w:firstLine="643"/>
        <w:rPr>
          <w:rFonts w:ascii="楷体" w:hAnsi="楷体" w:eastAsia="楷体" w:cs="楷体"/>
          <w:b/>
          <w:bCs/>
          <w:color w:val="auto"/>
          <w:sz w:val="32"/>
          <w:szCs w:val="32"/>
          <w:shd w:val="clear" w:color="auto" w:fill="FFFFFF"/>
        </w:rPr>
      </w:pPr>
      <w:r>
        <w:rPr>
          <w:rFonts w:hint="eastAsia" w:ascii="楷体" w:hAnsi="楷体" w:eastAsia="楷体" w:cs="楷体"/>
          <w:b/>
          <w:bCs/>
          <w:color w:val="auto"/>
          <w:sz w:val="32"/>
          <w:szCs w:val="32"/>
          <w:shd w:val="clear" w:color="auto" w:fill="FFFFFF"/>
        </w:rPr>
        <w:t>（一）单位自评情况</w:t>
      </w:r>
    </w:p>
    <w:p>
      <w:pPr>
        <w:pStyle w:val="12"/>
        <w:autoSpaceDE w:val="0"/>
        <w:spacing w:before="0" w:beforeAutospacing="0" w:line="600" w:lineRule="exact"/>
        <w:rPr>
          <w:rFonts w:hint="eastAsia" w:ascii="方正仿宋_GBK" w:hAnsi="方正仿宋_GBK" w:eastAsia="方正仿宋_GBK" w:cs="方正仿宋_GBK"/>
          <w:color w:val="auto"/>
          <w:sz w:val="32"/>
          <w:szCs w:val="32"/>
          <w:highlight w:val="yellow"/>
          <w:shd w:val="clear" w:color="auto" w:fill="FFFFFF"/>
          <w:lang w:eastAsia="zh-CN"/>
        </w:rPr>
      </w:pPr>
      <w:r>
        <w:rPr>
          <w:rFonts w:hint="eastAsia" w:ascii="方正仿宋_GBK" w:hAnsi="方正仿宋_GBK" w:eastAsia="方正仿宋_GBK" w:cs="方正仿宋_GBK"/>
          <w:color w:val="auto"/>
          <w:sz w:val="32"/>
          <w:szCs w:val="32"/>
          <w:shd w:val="clear" w:color="auto" w:fill="FFFFFF"/>
        </w:rPr>
        <w:t>我单位</w:t>
      </w:r>
      <w:r>
        <w:rPr>
          <w:rFonts w:hint="eastAsia" w:ascii="方正仿宋_GBK" w:hAnsi="方正仿宋_GBK" w:eastAsia="方正仿宋_GBK" w:cs="方正仿宋_GBK"/>
          <w:color w:val="auto"/>
          <w:sz w:val="32"/>
          <w:szCs w:val="32"/>
          <w:shd w:val="clear" w:color="auto" w:fill="FFFFFF"/>
          <w:lang w:eastAsia="zh-CN"/>
        </w:rPr>
        <w:t>未无项目支出，故无单位自评。</w:t>
      </w:r>
    </w:p>
    <w:p>
      <w:pPr>
        <w:pStyle w:val="11"/>
        <w:autoSpaceDE w:val="0"/>
        <w:ind w:firstLine="643"/>
        <w:rPr>
          <w:rFonts w:ascii="楷体" w:hAnsi="楷体" w:eastAsia="楷体" w:cs="楷体"/>
          <w:b/>
          <w:bCs/>
          <w:color w:val="auto"/>
          <w:sz w:val="32"/>
          <w:szCs w:val="32"/>
          <w:shd w:val="clear" w:color="auto" w:fill="FFFFFF"/>
        </w:rPr>
      </w:pPr>
      <w:r>
        <w:rPr>
          <w:rFonts w:hint="eastAsia" w:ascii="楷体" w:hAnsi="楷体" w:eastAsia="楷体" w:cs="楷体"/>
          <w:b/>
          <w:bCs/>
          <w:color w:val="auto"/>
          <w:sz w:val="32"/>
          <w:szCs w:val="32"/>
          <w:shd w:val="clear" w:color="auto" w:fill="FFFFFF"/>
        </w:rPr>
        <w:t>（二）单位绩效评价情况</w:t>
      </w:r>
    </w:p>
    <w:p>
      <w:pPr>
        <w:pStyle w:val="12"/>
        <w:autoSpaceDE w:val="0"/>
        <w:spacing w:before="0" w:beforeAutospacing="0" w:line="600" w:lineRule="exact"/>
        <w:rPr>
          <w:rFonts w:hint="eastAsia" w:ascii="方正仿宋_GBK" w:hAnsi="方正仿宋_GBK" w:eastAsia="方正仿宋_GBK" w:cs="方正仿宋_GBK"/>
          <w:color w:val="auto"/>
          <w:sz w:val="32"/>
          <w:szCs w:val="32"/>
          <w:shd w:val="clear" w:color="auto" w:fill="FFFFFF"/>
        </w:rPr>
      </w:pPr>
      <w:r>
        <w:rPr>
          <w:rFonts w:hint="eastAsia" w:ascii="方正仿宋_GBK" w:hAnsi="方正仿宋_GBK" w:eastAsia="方正仿宋_GBK" w:cs="方正仿宋_GBK"/>
          <w:color w:val="auto"/>
          <w:sz w:val="32"/>
          <w:szCs w:val="32"/>
          <w:shd w:val="clear" w:color="auto" w:fill="FFFFFF"/>
        </w:rPr>
        <w:t>我单位未组织开展绩效评价。</w:t>
      </w:r>
    </w:p>
    <w:p>
      <w:pPr>
        <w:pStyle w:val="11"/>
        <w:autoSpaceDE w:val="0"/>
        <w:ind w:firstLine="643"/>
        <w:rPr>
          <w:rFonts w:ascii="楷体" w:hAnsi="楷体" w:eastAsia="楷体" w:cs="楷体"/>
          <w:b/>
          <w:bCs/>
          <w:color w:val="auto"/>
          <w:sz w:val="32"/>
          <w:szCs w:val="32"/>
          <w:shd w:val="clear" w:color="auto" w:fill="FFFFFF"/>
        </w:rPr>
      </w:pPr>
      <w:r>
        <w:rPr>
          <w:rFonts w:hint="eastAsia" w:ascii="楷体" w:hAnsi="楷体" w:eastAsia="楷体" w:cs="楷体"/>
          <w:b/>
          <w:bCs/>
          <w:color w:val="auto"/>
          <w:sz w:val="32"/>
          <w:szCs w:val="32"/>
          <w:shd w:val="clear" w:color="auto" w:fill="FFFFFF"/>
        </w:rPr>
        <w:t>（三）财政绩效评价情况</w:t>
      </w:r>
    </w:p>
    <w:p>
      <w:pPr>
        <w:pStyle w:val="12"/>
        <w:autoSpaceDE w:val="0"/>
        <w:spacing w:before="0" w:beforeAutospacing="0" w:line="600" w:lineRule="exact"/>
        <w:rPr>
          <w:rFonts w:hint="eastAsia" w:ascii="方正仿宋_GBK" w:hAnsi="方正仿宋_GBK" w:eastAsia="方正仿宋_GBK" w:cs="方正仿宋_GBK"/>
          <w:color w:val="auto"/>
          <w:sz w:val="32"/>
          <w:szCs w:val="32"/>
          <w:shd w:val="clear" w:color="auto" w:fill="FFFFFF"/>
        </w:rPr>
      </w:pPr>
      <w:r>
        <w:rPr>
          <w:rFonts w:hint="eastAsia" w:ascii="方正仿宋_GBK" w:hAnsi="方正仿宋_GBK" w:eastAsia="方正仿宋_GBK" w:cs="方正仿宋_GBK"/>
          <w:color w:val="auto"/>
          <w:sz w:val="32"/>
          <w:szCs w:val="32"/>
          <w:shd w:val="clear" w:color="auto" w:fill="FFFFFF"/>
          <w:lang w:eastAsia="zh-CN"/>
        </w:rPr>
        <w:t>区</w:t>
      </w:r>
      <w:r>
        <w:rPr>
          <w:rFonts w:hint="eastAsia" w:ascii="方正仿宋_GBK" w:hAnsi="方正仿宋_GBK" w:eastAsia="方正仿宋_GBK" w:cs="方正仿宋_GBK"/>
          <w:color w:val="auto"/>
          <w:sz w:val="32"/>
          <w:szCs w:val="32"/>
          <w:shd w:val="clear" w:color="auto" w:fill="FFFFFF"/>
        </w:rPr>
        <w:t>财政局未委托第三方对我单位开展绩效评价。</w:t>
      </w:r>
      <w:bookmarkStart w:id="0" w:name="_GoBack"/>
      <w:bookmarkEnd w:id="0"/>
    </w:p>
    <w:p>
      <w:pPr>
        <w:pStyle w:val="6"/>
        <w:shd w:val="clear" w:color="auto" w:fill="FFFFFF"/>
        <w:rPr>
          <w:rStyle w:val="10"/>
          <w:rFonts w:hint="default" w:ascii="方正仿宋_GBK" w:hAnsi="方正仿宋_GBK" w:eastAsia="方正仿宋_GBK" w:cs="方正仿宋_GBK"/>
          <w:sz w:val="32"/>
          <w:szCs w:val="32"/>
          <w:shd w:val="clear" w:color="auto" w:fill="FFFFFF"/>
        </w:rPr>
      </w:pPr>
      <w:r>
        <w:rPr>
          <w:rStyle w:val="10"/>
          <w:rFonts w:ascii="方正仿宋_GBK" w:hAnsi="方正仿宋_GBK" w:eastAsia="方正仿宋_GBK" w:cs="方正仿宋_GBK"/>
          <w:sz w:val="32"/>
          <w:szCs w:val="32"/>
          <w:shd w:val="clear" w:color="auto" w:fill="FFFFFF"/>
        </w:rPr>
        <w:t xml:space="preserve">  </w:t>
      </w:r>
      <w:r>
        <w:rPr>
          <w:rStyle w:val="10"/>
          <w:rFonts w:ascii="黑体" w:hAnsi="黑体" w:eastAsia="黑体" w:cs="黑体"/>
          <w:sz w:val="32"/>
          <w:szCs w:val="32"/>
          <w:shd w:val="clear" w:color="auto" w:fill="FFFFFF"/>
        </w:rPr>
        <w:t>六、专业名词解释</w:t>
      </w:r>
    </w:p>
    <w:p>
      <w:pPr>
        <w:pStyle w:val="6"/>
        <w:snapToGrid w:val="0"/>
        <w:spacing w:before="0" w:beforeAutospacing="0" w:after="0" w:afterAutospacing="0" w:line="600" w:lineRule="exact"/>
        <w:ind w:firstLine="643" w:firstLineChars="200"/>
        <w:jc w:val="both"/>
        <w:rPr>
          <w:rFonts w:hint="default" w:ascii="方正仿宋_GBK" w:hAnsi="方正仿宋_GBK" w:eastAsia="方正仿宋_GBK" w:cs="方正仿宋_GBK"/>
          <w:sz w:val="32"/>
          <w:szCs w:val="32"/>
        </w:rPr>
      </w:pPr>
      <w:r>
        <w:rPr>
          <w:rFonts w:ascii="方正仿宋_GBK" w:hAnsi="方正仿宋_GBK" w:eastAsia="方正仿宋_GBK" w:cs="方正仿宋_GBK"/>
          <w:b/>
          <w:bCs/>
          <w:sz w:val="32"/>
          <w:szCs w:val="32"/>
          <w:shd w:val="clear" w:color="auto" w:fill="FFFFFF"/>
        </w:rPr>
        <w:t> </w:t>
      </w:r>
      <w:r>
        <w:rPr>
          <w:rFonts w:ascii="楷体" w:hAnsi="楷体" w:eastAsia="楷体" w:cs="楷体"/>
          <w:b/>
          <w:bCs/>
          <w:sz w:val="32"/>
          <w:szCs w:val="32"/>
          <w:shd w:val="clear" w:color="auto" w:fill="FFFFFF"/>
        </w:rPr>
        <w:t>（一）财政拨款收入：</w:t>
      </w:r>
      <w:r>
        <w:rPr>
          <w:rFonts w:ascii="方正仿宋_GBK" w:hAnsi="方正仿宋_GBK" w:eastAsia="方正仿宋_GBK" w:cs="方正仿宋_GBK"/>
          <w:sz w:val="32"/>
          <w:szCs w:val="32"/>
          <w:shd w:val="clear" w:color="auto" w:fill="FFFFFF"/>
        </w:rPr>
        <w:t>指本年度从本级财政部门取得的财政拨款，包括一般公共预算财政拨款和政府性基金预算财政拨款。</w:t>
      </w:r>
    </w:p>
    <w:p>
      <w:pPr>
        <w:pStyle w:val="6"/>
        <w:snapToGrid w:val="0"/>
        <w:spacing w:before="0" w:beforeAutospacing="0" w:after="0" w:afterAutospacing="0" w:line="600" w:lineRule="exact"/>
        <w:ind w:firstLine="643" w:firstLineChars="200"/>
        <w:jc w:val="both"/>
        <w:rPr>
          <w:rFonts w:hint="default" w:ascii="方正仿宋_GBK" w:hAnsi="方正仿宋_GBK" w:eastAsia="方正仿宋_GBK" w:cs="方正仿宋_GBK"/>
          <w:sz w:val="32"/>
          <w:szCs w:val="32"/>
        </w:rPr>
      </w:pPr>
      <w:r>
        <w:rPr>
          <w:rStyle w:val="10"/>
          <w:rFonts w:ascii="方正仿宋_GBK" w:hAnsi="方正仿宋_GBK" w:eastAsia="方正仿宋_GBK" w:cs="方正仿宋_GBK"/>
          <w:sz w:val="32"/>
          <w:szCs w:val="32"/>
          <w:shd w:val="clear" w:color="auto" w:fill="FFFFFF"/>
        </w:rPr>
        <w:t> </w:t>
      </w:r>
      <w:r>
        <w:rPr>
          <w:rStyle w:val="10"/>
          <w:rFonts w:ascii="楷体" w:hAnsi="楷体" w:eastAsia="楷体" w:cs="楷体"/>
          <w:sz w:val="32"/>
          <w:szCs w:val="32"/>
          <w:shd w:val="clear" w:color="auto" w:fill="FFFFFF"/>
        </w:rPr>
        <w:t>（二）事业收入</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指事业单位开展专业业务活动及其辅助活动取得的现金流入；事业单位收到的财政专户实际核拨的教育收费等资金在此反映。</w:t>
      </w:r>
    </w:p>
    <w:p>
      <w:pPr>
        <w:pStyle w:val="6"/>
        <w:snapToGrid w:val="0"/>
        <w:spacing w:before="0" w:beforeAutospacing="0" w:after="0" w:afterAutospacing="0" w:line="600" w:lineRule="exact"/>
        <w:ind w:firstLine="643" w:firstLineChars="200"/>
        <w:jc w:val="both"/>
        <w:rPr>
          <w:rFonts w:hint="default" w:ascii="方正仿宋_GBK" w:hAnsi="方正仿宋_GBK" w:eastAsia="方正仿宋_GBK" w:cs="方正仿宋_GBK"/>
          <w:sz w:val="32"/>
          <w:szCs w:val="32"/>
        </w:rPr>
      </w:pPr>
      <w:r>
        <w:rPr>
          <w:rStyle w:val="10"/>
          <w:rFonts w:ascii="方正仿宋_GBK" w:hAnsi="方正仿宋_GBK" w:eastAsia="方正仿宋_GBK" w:cs="方正仿宋_GBK"/>
          <w:sz w:val="32"/>
          <w:szCs w:val="32"/>
          <w:shd w:val="clear" w:color="auto" w:fill="FFFFFF"/>
        </w:rPr>
        <w:t> </w:t>
      </w:r>
      <w:r>
        <w:rPr>
          <w:rStyle w:val="10"/>
          <w:rFonts w:ascii="楷体" w:hAnsi="楷体" w:eastAsia="楷体" w:cs="楷体"/>
          <w:sz w:val="32"/>
          <w:szCs w:val="32"/>
          <w:shd w:val="clear" w:color="auto" w:fill="FFFFFF"/>
        </w:rPr>
        <w:t>（三）经营收入</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指事业单位在专业业务活动及其辅助活动之外开展非独立核算经营活动取得的现金流入。</w:t>
      </w:r>
    </w:p>
    <w:p>
      <w:pPr>
        <w:pStyle w:val="6"/>
        <w:snapToGrid w:val="0"/>
        <w:spacing w:before="0" w:beforeAutospacing="0" w:after="0" w:afterAutospacing="0" w:line="600" w:lineRule="exact"/>
        <w:ind w:firstLine="643" w:firstLineChars="200"/>
        <w:jc w:val="both"/>
        <w:rPr>
          <w:rFonts w:hint="default" w:ascii="方正仿宋_GBK" w:hAnsi="方正仿宋_GBK" w:eastAsia="方正仿宋_GBK" w:cs="方正仿宋_GBK"/>
          <w:sz w:val="32"/>
          <w:szCs w:val="32"/>
        </w:rPr>
      </w:pPr>
      <w:r>
        <w:rPr>
          <w:rStyle w:val="10"/>
          <w:rFonts w:ascii="方正仿宋_GBK" w:hAnsi="方正仿宋_GBK" w:eastAsia="方正仿宋_GBK" w:cs="方正仿宋_GBK"/>
          <w:sz w:val="32"/>
          <w:szCs w:val="32"/>
          <w:shd w:val="clear" w:color="auto" w:fill="FFFFFF"/>
        </w:rPr>
        <w:t> </w:t>
      </w:r>
      <w:r>
        <w:rPr>
          <w:rStyle w:val="10"/>
          <w:rFonts w:ascii="楷体" w:hAnsi="楷体" w:eastAsia="楷体" w:cs="楷体"/>
          <w:sz w:val="32"/>
          <w:szCs w:val="32"/>
          <w:shd w:val="clear" w:color="auto" w:fill="FFFFFF"/>
        </w:rPr>
        <w:t>（四）其他收入</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指单位取得的除“财政拨款收入”、“事业收入”、“经营收入”等以外的收入，包括未纳入财政预算或财政专户管理的投资收益、银行存款利息收入、租金收入、捐赠收入，现金盘盈收入、存货盘盈收入、收回已核销的应收及预付款项、无法偿付的应付及预收款项等。各单位从本级财政部门以外的同级单位取得的经费、从非本级财政部门取得的经费，以及行政单位收到的财政专户管理资金反映在本项内。</w:t>
      </w:r>
    </w:p>
    <w:p>
      <w:pPr>
        <w:pStyle w:val="6"/>
        <w:snapToGrid w:val="0"/>
        <w:spacing w:before="0" w:beforeAutospacing="0" w:after="0" w:afterAutospacing="0" w:line="600" w:lineRule="exact"/>
        <w:ind w:firstLine="643" w:firstLineChars="200"/>
        <w:jc w:val="both"/>
        <w:rPr>
          <w:rFonts w:hint="default" w:ascii="方正仿宋_GBK" w:hAnsi="方正仿宋_GBK" w:eastAsia="方正仿宋_GBK" w:cs="方正仿宋_GBK"/>
          <w:sz w:val="32"/>
          <w:szCs w:val="32"/>
        </w:rPr>
      </w:pPr>
      <w:r>
        <w:rPr>
          <w:rStyle w:val="10"/>
          <w:rFonts w:ascii="楷体" w:hAnsi="楷体" w:eastAsia="楷体" w:cs="楷体"/>
          <w:sz w:val="32"/>
          <w:szCs w:val="32"/>
          <w:shd w:val="clear" w:color="auto" w:fill="FFFFFF"/>
        </w:rPr>
        <w:t>（五）使用非财政拨款结余</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指单位在当年的“财政拨款收入”、“事业收入”、“经营收入”、“其他收入”等不足以安排当年支出的情况下，使用以前年度积累的非财政拨款结余弥补本年度收支缺口的资金。</w:t>
      </w:r>
    </w:p>
    <w:p>
      <w:pPr>
        <w:pStyle w:val="6"/>
        <w:snapToGrid w:val="0"/>
        <w:spacing w:before="0" w:beforeAutospacing="0" w:after="0" w:afterAutospacing="0" w:line="600" w:lineRule="exact"/>
        <w:ind w:firstLine="643" w:firstLineChars="200"/>
        <w:jc w:val="both"/>
        <w:rPr>
          <w:rFonts w:hint="default" w:ascii="方正仿宋_GBK" w:hAnsi="方正仿宋_GBK" w:eastAsia="方正仿宋_GBK" w:cs="方正仿宋_GBK"/>
          <w:sz w:val="32"/>
          <w:szCs w:val="32"/>
        </w:rPr>
      </w:pPr>
      <w:r>
        <w:rPr>
          <w:rStyle w:val="10"/>
          <w:rFonts w:ascii="方正仿宋_GBK" w:hAnsi="方正仿宋_GBK" w:eastAsia="方正仿宋_GBK" w:cs="方正仿宋_GBK"/>
          <w:sz w:val="32"/>
          <w:szCs w:val="32"/>
          <w:shd w:val="clear" w:color="auto" w:fill="FFFFFF"/>
        </w:rPr>
        <w:t> </w:t>
      </w:r>
      <w:r>
        <w:rPr>
          <w:rStyle w:val="10"/>
          <w:rFonts w:ascii="楷体" w:hAnsi="楷体" w:eastAsia="楷体" w:cs="楷体"/>
          <w:sz w:val="32"/>
          <w:szCs w:val="32"/>
          <w:shd w:val="clear" w:color="auto" w:fill="FFFFFF"/>
        </w:rPr>
        <w:t>（六）年初结转和结余</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指单位上年结转本年使用的基本支出结转、项目支出结转和结余、经营结余。</w:t>
      </w:r>
    </w:p>
    <w:p>
      <w:pPr>
        <w:pStyle w:val="6"/>
        <w:snapToGrid w:val="0"/>
        <w:spacing w:before="0" w:beforeAutospacing="0" w:after="0" w:afterAutospacing="0" w:line="600" w:lineRule="exact"/>
        <w:ind w:firstLine="643" w:firstLineChars="200"/>
        <w:jc w:val="both"/>
        <w:rPr>
          <w:rFonts w:hint="default" w:ascii="方正仿宋_GBK" w:hAnsi="方正仿宋_GBK" w:eastAsia="方正仿宋_GBK" w:cs="方正仿宋_GBK"/>
          <w:sz w:val="32"/>
          <w:szCs w:val="32"/>
        </w:rPr>
      </w:pPr>
      <w:r>
        <w:rPr>
          <w:rStyle w:val="10"/>
          <w:rFonts w:ascii="方正仿宋_GBK" w:hAnsi="方正仿宋_GBK" w:eastAsia="方正仿宋_GBK" w:cs="方正仿宋_GBK"/>
          <w:sz w:val="32"/>
          <w:szCs w:val="32"/>
          <w:shd w:val="clear" w:color="auto" w:fill="FFFFFF"/>
        </w:rPr>
        <w:t> </w:t>
      </w:r>
      <w:r>
        <w:rPr>
          <w:rStyle w:val="10"/>
          <w:rFonts w:ascii="楷体" w:hAnsi="楷体" w:eastAsia="楷体" w:cs="楷体"/>
          <w:sz w:val="32"/>
          <w:szCs w:val="32"/>
          <w:shd w:val="clear" w:color="auto" w:fill="FFFFFF"/>
        </w:rPr>
        <w:t>（七）结余分配</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指单位按照国家有关规定，缴纳所得税、提取专用基金、转入非财政拨款结余等当年结余的分配情况。</w:t>
      </w:r>
    </w:p>
    <w:p>
      <w:pPr>
        <w:pStyle w:val="6"/>
        <w:snapToGrid w:val="0"/>
        <w:spacing w:before="0" w:beforeAutospacing="0" w:after="0" w:afterAutospacing="0" w:line="600" w:lineRule="exact"/>
        <w:ind w:firstLine="643" w:firstLineChars="200"/>
        <w:jc w:val="both"/>
        <w:rPr>
          <w:rFonts w:hint="default" w:ascii="方正仿宋_GBK" w:hAnsi="方正仿宋_GBK" w:eastAsia="方正仿宋_GBK" w:cs="方正仿宋_GBK"/>
          <w:sz w:val="32"/>
          <w:szCs w:val="32"/>
        </w:rPr>
      </w:pPr>
      <w:r>
        <w:rPr>
          <w:rStyle w:val="10"/>
          <w:rFonts w:ascii="方正仿宋_GBK" w:hAnsi="方正仿宋_GBK" w:eastAsia="方正仿宋_GBK" w:cs="方正仿宋_GBK"/>
          <w:sz w:val="32"/>
          <w:szCs w:val="32"/>
          <w:shd w:val="clear" w:color="auto" w:fill="FFFFFF"/>
        </w:rPr>
        <w:t> </w:t>
      </w:r>
      <w:r>
        <w:rPr>
          <w:rStyle w:val="10"/>
          <w:rFonts w:ascii="楷体" w:hAnsi="楷体" w:eastAsia="楷体" w:cs="楷体"/>
          <w:sz w:val="32"/>
          <w:szCs w:val="32"/>
          <w:shd w:val="clear" w:color="auto" w:fill="FFFFFF"/>
        </w:rPr>
        <w:t>（八）年末结转和结余</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指单位结转下年的基本支出结转、项目支出结转和结余、经营结余。</w:t>
      </w:r>
    </w:p>
    <w:p>
      <w:pPr>
        <w:pStyle w:val="6"/>
        <w:snapToGrid w:val="0"/>
        <w:spacing w:before="0" w:beforeAutospacing="0" w:after="0" w:afterAutospacing="0" w:line="600" w:lineRule="exact"/>
        <w:ind w:firstLine="643" w:firstLineChars="200"/>
        <w:jc w:val="both"/>
        <w:rPr>
          <w:rFonts w:hint="default" w:ascii="方正仿宋_GBK" w:hAnsi="方正仿宋_GBK" w:eastAsia="方正仿宋_GBK" w:cs="方正仿宋_GBK"/>
          <w:sz w:val="32"/>
          <w:szCs w:val="32"/>
        </w:rPr>
      </w:pPr>
      <w:r>
        <w:rPr>
          <w:rStyle w:val="10"/>
          <w:rFonts w:ascii="方正仿宋_GBK" w:hAnsi="方正仿宋_GBK" w:eastAsia="方正仿宋_GBK" w:cs="方正仿宋_GBK"/>
          <w:sz w:val="32"/>
          <w:szCs w:val="32"/>
          <w:shd w:val="clear" w:color="auto" w:fill="FFFFFF"/>
        </w:rPr>
        <w:t> </w:t>
      </w:r>
      <w:r>
        <w:rPr>
          <w:rStyle w:val="10"/>
          <w:rFonts w:ascii="楷体" w:hAnsi="楷体" w:eastAsia="楷体" w:cs="楷体"/>
          <w:sz w:val="32"/>
          <w:szCs w:val="32"/>
          <w:shd w:val="clear" w:color="auto" w:fill="FFFFFF"/>
        </w:rPr>
        <w:t>（九）基本支出</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指为保障机构正常运转、完成日常工作任务而发生的人员经费和公用经费。其中：人员经费指政府收支分类经济科目中的“工资福利支出”和“对个人和家庭的补助”；公用经费指政府收支分类经济科目中除“工资福利支出”和“对个人和家庭的补助”外的其他支出。</w:t>
      </w:r>
    </w:p>
    <w:p>
      <w:pPr>
        <w:pStyle w:val="6"/>
        <w:snapToGrid w:val="0"/>
        <w:spacing w:before="0" w:beforeAutospacing="0" w:after="0" w:afterAutospacing="0" w:line="600" w:lineRule="exact"/>
        <w:ind w:firstLine="643" w:firstLineChars="200"/>
        <w:jc w:val="both"/>
        <w:rPr>
          <w:rFonts w:hint="default" w:ascii="方正仿宋_GBK" w:hAnsi="方正仿宋_GBK" w:eastAsia="方正仿宋_GBK" w:cs="方正仿宋_GBK"/>
          <w:sz w:val="32"/>
          <w:szCs w:val="32"/>
        </w:rPr>
      </w:pPr>
      <w:r>
        <w:rPr>
          <w:rStyle w:val="10"/>
          <w:rFonts w:ascii="方正仿宋_GBK" w:hAnsi="方正仿宋_GBK" w:eastAsia="方正仿宋_GBK" w:cs="方正仿宋_GBK"/>
          <w:sz w:val="32"/>
          <w:szCs w:val="32"/>
          <w:shd w:val="clear" w:color="auto" w:fill="FFFFFF"/>
        </w:rPr>
        <w:t> </w:t>
      </w:r>
      <w:r>
        <w:rPr>
          <w:rStyle w:val="10"/>
          <w:rFonts w:ascii="楷体" w:hAnsi="楷体" w:eastAsia="楷体" w:cs="楷体"/>
          <w:sz w:val="32"/>
          <w:szCs w:val="32"/>
          <w:shd w:val="clear" w:color="auto" w:fill="FFFFFF"/>
        </w:rPr>
        <w:t>（十）项目支出</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指在基本支出之外为完成特定行政任务和事业发展目标所发生的支出。</w:t>
      </w:r>
    </w:p>
    <w:p>
      <w:pPr>
        <w:pStyle w:val="6"/>
        <w:snapToGrid w:val="0"/>
        <w:spacing w:before="0" w:beforeAutospacing="0" w:after="0" w:afterAutospacing="0" w:line="600" w:lineRule="exact"/>
        <w:ind w:firstLine="643" w:firstLineChars="200"/>
        <w:jc w:val="both"/>
        <w:rPr>
          <w:rFonts w:hint="default" w:ascii="方正仿宋_GBK" w:hAnsi="方正仿宋_GBK" w:eastAsia="方正仿宋_GBK" w:cs="方正仿宋_GBK"/>
          <w:sz w:val="32"/>
          <w:szCs w:val="32"/>
        </w:rPr>
      </w:pPr>
      <w:r>
        <w:rPr>
          <w:rStyle w:val="10"/>
          <w:rFonts w:ascii="方正仿宋_GBK" w:hAnsi="方正仿宋_GBK" w:eastAsia="方正仿宋_GBK" w:cs="方正仿宋_GBK"/>
          <w:sz w:val="32"/>
          <w:szCs w:val="32"/>
          <w:shd w:val="clear" w:color="auto" w:fill="FFFFFF"/>
        </w:rPr>
        <w:t> </w:t>
      </w:r>
      <w:r>
        <w:rPr>
          <w:rStyle w:val="10"/>
          <w:rFonts w:ascii="楷体" w:hAnsi="楷体" w:eastAsia="楷体" w:cs="楷体"/>
          <w:sz w:val="32"/>
          <w:szCs w:val="32"/>
          <w:shd w:val="clear" w:color="auto" w:fill="FFFFFF"/>
        </w:rPr>
        <w:t>（十一）经营支出</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指事业单位在专业业务活动及其辅助活动之外开展非独立核算经营活动发生的支出。</w:t>
      </w:r>
    </w:p>
    <w:p>
      <w:pPr>
        <w:pStyle w:val="6"/>
        <w:snapToGrid w:val="0"/>
        <w:spacing w:before="0" w:beforeAutospacing="0" w:after="0" w:afterAutospacing="0" w:line="600" w:lineRule="exact"/>
        <w:ind w:firstLine="643" w:firstLineChars="200"/>
        <w:jc w:val="both"/>
        <w:rPr>
          <w:rFonts w:hint="default" w:ascii="方正仿宋_GBK" w:hAnsi="方正仿宋_GBK" w:eastAsia="方正仿宋_GBK" w:cs="方正仿宋_GBK"/>
          <w:sz w:val="32"/>
          <w:szCs w:val="32"/>
        </w:rPr>
      </w:pPr>
      <w:r>
        <w:rPr>
          <w:rStyle w:val="10"/>
          <w:rFonts w:ascii="方正仿宋_GBK" w:hAnsi="方正仿宋_GBK" w:eastAsia="方正仿宋_GBK" w:cs="方正仿宋_GBK"/>
          <w:sz w:val="32"/>
          <w:szCs w:val="32"/>
          <w:shd w:val="clear" w:color="auto" w:fill="FFFFFF"/>
        </w:rPr>
        <w:t> </w:t>
      </w:r>
      <w:r>
        <w:rPr>
          <w:rStyle w:val="10"/>
          <w:rFonts w:ascii="楷体" w:hAnsi="楷体" w:eastAsia="楷体" w:cs="楷体"/>
          <w:sz w:val="32"/>
          <w:szCs w:val="32"/>
          <w:shd w:val="clear" w:color="auto" w:fill="FFFFFF"/>
        </w:rPr>
        <w:t>（十二）“三公”经费</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指用一般公共预算财政拨款安排的因公出国（境）费、公务用车购置及运行维护费、公务接待费。其中，因公出国（境）费反映单位公务出国（境）的国际旅费、国外城市间交通费、住宿费、伙食费、培训费、公杂费等支出；公务用车购置费反映单位公务用车购置支出（含车辆购置税）；公务用车运行维护费反映单位按规定保留的公务用车燃料费、维修费、过路过桥费、保险费、安全奖励费用等支出；公务接待费反映单位按规定开支的各类公务接待（含外宾接待）支出。</w:t>
      </w:r>
    </w:p>
    <w:p>
      <w:pPr>
        <w:pStyle w:val="6"/>
        <w:snapToGrid w:val="0"/>
        <w:spacing w:before="0" w:beforeAutospacing="0" w:after="0" w:afterAutospacing="0" w:line="600" w:lineRule="exact"/>
        <w:ind w:firstLine="643" w:firstLineChars="200"/>
        <w:jc w:val="both"/>
        <w:rPr>
          <w:rFonts w:hint="default" w:ascii="方正仿宋_GBK" w:hAnsi="方正仿宋_GBK" w:eastAsia="方正仿宋_GBK" w:cs="方正仿宋_GBK"/>
          <w:sz w:val="32"/>
          <w:szCs w:val="32"/>
        </w:rPr>
      </w:pPr>
      <w:r>
        <w:rPr>
          <w:rStyle w:val="10"/>
          <w:rFonts w:ascii="方正仿宋_GBK" w:hAnsi="方正仿宋_GBK" w:eastAsia="方正仿宋_GBK" w:cs="方正仿宋_GBK"/>
          <w:sz w:val="32"/>
          <w:szCs w:val="32"/>
          <w:shd w:val="clear" w:color="auto" w:fill="FFFFFF"/>
        </w:rPr>
        <w:t> </w:t>
      </w:r>
      <w:r>
        <w:rPr>
          <w:rStyle w:val="10"/>
          <w:rFonts w:ascii="楷体" w:hAnsi="楷体" w:eastAsia="楷体" w:cs="楷体"/>
          <w:sz w:val="32"/>
          <w:szCs w:val="32"/>
          <w:shd w:val="clear" w:color="auto" w:fill="FFFFFF"/>
        </w:rPr>
        <w:t>（十三）机关运行经费</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为保障行政单位（含参照公务员法管理的事业单位）运行用于购买货物和服务等的各项公用经费，包括办公及印刷费、邮电费、差旅费、会议费、福利费、日常维护费、专用材料及一般设备购置费、办公用房水电费、办公用房取暖费、办公用房物业管理费、公务用车运行维护费以及其他费用。</w:t>
      </w:r>
    </w:p>
    <w:p>
      <w:pPr>
        <w:pStyle w:val="6"/>
        <w:snapToGrid w:val="0"/>
        <w:spacing w:before="0" w:beforeAutospacing="0" w:after="0" w:afterAutospacing="0" w:line="600" w:lineRule="exact"/>
        <w:ind w:firstLine="643" w:firstLineChars="200"/>
        <w:jc w:val="both"/>
        <w:rPr>
          <w:rFonts w:hint="default" w:ascii="方正仿宋_GBK" w:hAnsi="方正仿宋_GBK" w:eastAsia="方正仿宋_GBK" w:cs="方正仿宋_GBK"/>
          <w:sz w:val="32"/>
          <w:szCs w:val="32"/>
        </w:rPr>
      </w:pPr>
      <w:r>
        <w:rPr>
          <w:rStyle w:val="10"/>
          <w:rFonts w:ascii="方正仿宋_GBK" w:hAnsi="方正仿宋_GBK" w:eastAsia="方正仿宋_GBK" w:cs="方正仿宋_GBK"/>
          <w:sz w:val="32"/>
          <w:szCs w:val="32"/>
          <w:shd w:val="clear" w:color="auto" w:fill="FFFFFF"/>
        </w:rPr>
        <w:t> </w:t>
      </w:r>
      <w:r>
        <w:rPr>
          <w:rStyle w:val="10"/>
          <w:rFonts w:ascii="楷体" w:hAnsi="楷体" w:eastAsia="楷体" w:cs="楷体"/>
          <w:sz w:val="32"/>
          <w:szCs w:val="32"/>
          <w:shd w:val="clear" w:color="auto" w:fill="FFFFFF"/>
        </w:rPr>
        <w:t>（十四）工资福利支出（支出经济分类科目类级）</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反映单位开支的在职职工和编制外长期聘用人员的各类劳动报酬，以及为上述人员缴纳的各项社会保险费等。</w:t>
      </w:r>
    </w:p>
    <w:p>
      <w:pPr>
        <w:pStyle w:val="6"/>
        <w:snapToGrid w:val="0"/>
        <w:spacing w:before="0" w:beforeAutospacing="0" w:after="0" w:afterAutospacing="0" w:line="600" w:lineRule="exact"/>
        <w:ind w:firstLine="643" w:firstLineChars="200"/>
        <w:jc w:val="both"/>
        <w:rPr>
          <w:rFonts w:hint="default" w:ascii="方正仿宋_GBK" w:hAnsi="方正仿宋_GBK" w:eastAsia="方正仿宋_GBK" w:cs="方正仿宋_GBK"/>
          <w:sz w:val="32"/>
          <w:szCs w:val="32"/>
        </w:rPr>
      </w:pPr>
      <w:r>
        <w:rPr>
          <w:rStyle w:val="10"/>
          <w:rFonts w:ascii="方正仿宋_GBK" w:hAnsi="方正仿宋_GBK" w:eastAsia="方正仿宋_GBK" w:cs="方正仿宋_GBK"/>
          <w:sz w:val="32"/>
          <w:szCs w:val="32"/>
          <w:shd w:val="clear" w:color="auto" w:fill="FFFFFF"/>
        </w:rPr>
        <w:t> </w:t>
      </w:r>
      <w:r>
        <w:rPr>
          <w:rStyle w:val="10"/>
          <w:rFonts w:ascii="楷体" w:hAnsi="楷体" w:eastAsia="楷体" w:cs="楷体"/>
          <w:sz w:val="32"/>
          <w:szCs w:val="32"/>
          <w:shd w:val="clear" w:color="auto" w:fill="FFFFFF"/>
        </w:rPr>
        <w:t>（十五）商品和服务支出（支出经济分类科目类级）</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反映单位购买商品和服务的支出（不包括用于购置固定资产的支出、战略性和应急储备支出）。</w:t>
      </w:r>
    </w:p>
    <w:p>
      <w:pPr>
        <w:pStyle w:val="6"/>
        <w:snapToGrid w:val="0"/>
        <w:spacing w:before="0" w:beforeAutospacing="0" w:after="0" w:afterAutospacing="0" w:line="600" w:lineRule="exact"/>
        <w:ind w:firstLine="643" w:firstLineChars="200"/>
        <w:jc w:val="both"/>
        <w:rPr>
          <w:rFonts w:hint="default" w:ascii="方正仿宋_GBK" w:hAnsi="方正仿宋_GBK" w:eastAsia="方正仿宋_GBK" w:cs="方正仿宋_GBK"/>
          <w:sz w:val="32"/>
          <w:szCs w:val="32"/>
        </w:rPr>
      </w:pPr>
      <w:r>
        <w:rPr>
          <w:rStyle w:val="10"/>
          <w:rFonts w:ascii="楷体" w:hAnsi="楷体" w:eastAsia="楷体" w:cs="楷体"/>
          <w:sz w:val="32"/>
          <w:szCs w:val="32"/>
          <w:shd w:val="clear" w:color="auto" w:fill="FFFFFF"/>
        </w:rPr>
        <w:t> （十六）对个人和家庭的补助（支出经济分类科目类级）</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反映用于对个人和家庭的补助支出。</w:t>
      </w:r>
    </w:p>
    <w:p>
      <w:pPr>
        <w:pStyle w:val="6"/>
        <w:snapToGrid w:val="0"/>
        <w:spacing w:before="0" w:beforeAutospacing="0" w:after="0" w:afterAutospacing="0" w:line="600" w:lineRule="exact"/>
        <w:ind w:firstLine="643" w:firstLineChars="200"/>
        <w:jc w:val="both"/>
        <w:rPr>
          <w:rFonts w:hint="default" w:ascii="方正仿宋_GBK" w:hAnsi="方正仿宋_GBK" w:eastAsia="方正仿宋_GBK" w:cs="方正仿宋_GBK"/>
          <w:sz w:val="32"/>
          <w:szCs w:val="32"/>
        </w:rPr>
      </w:pPr>
      <w:r>
        <w:rPr>
          <w:rStyle w:val="10"/>
          <w:rFonts w:ascii="方正仿宋_GBK" w:hAnsi="方正仿宋_GBK" w:eastAsia="方正仿宋_GBK" w:cs="方正仿宋_GBK"/>
          <w:sz w:val="32"/>
          <w:szCs w:val="32"/>
          <w:shd w:val="clear" w:color="auto" w:fill="FFFFFF"/>
        </w:rPr>
        <w:t> </w:t>
      </w:r>
      <w:r>
        <w:rPr>
          <w:rStyle w:val="10"/>
          <w:rFonts w:ascii="楷体" w:hAnsi="楷体" w:eastAsia="楷体" w:cs="楷体"/>
          <w:sz w:val="32"/>
          <w:szCs w:val="32"/>
          <w:shd w:val="clear" w:color="auto" w:fill="FFFFFF"/>
        </w:rPr>
        <w:t>（十七）其他资本性支出（支出经济分类科目类级）</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反映非各级发展与改革部门集中安排的用于购置固定资产、战略性和应急性储备、土地和无形资产，以及构建基础设施、大型修缮和财政支持企业更新改造所发生的支出。</w:t>
      </w:r>
    </w:p>
    <w:p>
      <w:pPr>
        <w:pStyle w:val="6"/>
        <w:shd w:val="clear" w:color="auto" w:fill="FFFFFF"/>
        <w:rPr>
          <w:rStyle w:val="10"/>
          <w:rFonts w:hint="default" w:ascii="方正仿宋_GBK" w:hAnsi="方正仿宋_GBK" w:eastAsia="方正仿宋_GBK" w:cs="方正仿宋_GBK"/>
          <w:sz w:val="32"/>
          <w:szCs w:val="32"/>
          <w:shd w:val="clear" w:color="auto" w:fill="FFFFFF"/>
        </w:rPr>
      </w:pPr>
      <w:r>
        <w:rPr>
          <w:rStyle w:val="10"/>
          <w:rFonts w:ascii="方正仿宋_GBK" w:hAnsi="方正仿宋_GBK" w:eastAsia="方正仿宋_GBK" w:cs="方正仿宋_GBK"/>
          <w:sz w:val="32"/>
          <w:szCs w:val="32"/>
          <w:shd w:val="clear" w:color="auto" w:fill="FFFFFF"/>
        </w:rPr>
        <w:t xml:space="preserve">  </w:t>
      </w:r>
      <w:r>
        <w:rPr>
          <w:rStyle w:val="10"/>
          <w:rFonts w:ascii="黑体" w:hAnsi="黑体" w:eastAsia="黑体" w:cs="黑体"/>
          <w:sz w:val="32"/>
          <w:szCs w:val="32"/>
          <w:shd w:val="clear" w:color="auto" w:fill="FFFFFF"/>
        </w:rPr>
        <w:t>七、决算公开联系方式及信息反馈渠道</w:t>
      </w:r>
    </w:p>
    <w:p>
      <w:pPr>
        <w:pStyle w:val="6"/>
        <w:snapToGrid w:val="0"/>
        <w:spacing w:before="0" w:beforeAutospacing="0" w:after="0" w:afterAutospacing="0" w:line="600" w:lineRule="exact"/>
        <w:ind w:firstLine="640" w:firstLineChars="200"/>
        <w:jc w:val="both"/>
        <w:rPr>
          <w:rFonts w:hint="default" w:ascii="方正仿宋_GBK" w:hAnsi="方正仿宋_GBK" w:eastAsia="方正仿宋_GBK" w:cs="方正仿宋_GBK"/>
          <w:color w:val="auto"/>
          <w:sz w:val="32"/>
          <w:szCs w:val="32"/>
          <w:lang w:val="en-US" w:eastAsia="zh-CN"/>
        </w:rPr>
      </w:pPr>
      <w:r>
        <w:rPr>
          <w:rFonts w:ascii="方正仿宋_GBK" w:hAnsi="方正仿宋_GBK" w:eastAsia="方正仿宋_GBK" w:cs="方正仿宋_GBK"/>
          <w:sz w:val="32"/>
          <w:szCs w:val="32"/>
          <w:shd w:val="clear" w:color="auto" w:fill="FFFFFF"/>
        </w:rPr>
        <w:t>本单位决算公开信息反馈和联</w:t>
      </w:r>
      <w:r>
        <w:rPr>
          <w:rFonts w:ascii="方正仿宋_GBK" w:hAnsi="方正仿宋_GBK" w:eastAsia="方正仿宋_GBK" w:cs="方正仿宋_GBK"/>
          <w:color w:val="auto"/>
          <w:sz w:val="32"/>
          <w:szCs w:val="32"/>
          <w:shd w:val="clear" w:color="auto" w:fill="FFFFFF"/>
        </w:rPr>
        <w:t>系方式：023-</w:t>
      </w:r>
      <w:r>
        <w:rPr>
          <w:rFonts w:hint="eastAsia" w:ascii="方正仿宋_GBK" w:hAnsi="方正仿宋_GBK" w:eastAsia="方正仿宋_GBK" w:cs="方正仿宋_GBK"/>
          <w:color w:val="auto"/>
          <w:sz w:val="32"/>
          <w:szCs w:val="32"/>
          <w:shd w:val="clear" w:color="auto" w:fill="FFFFFF"/>
          <w:lang w:val="en-US" w:eastAsia="zh-CN"/>
        </w:rPr>
        <w:t>43406001</w:t>
      </w:r>
    </w:p>
    <w:p>
      <w:pPr>
        <w:pStyle w:val="11"/>
        <w:autoSpaceDE w:val="0"/>
        <w:ind w:firstLine="0" w:firstLineChars="0"/>
        <w:rPr>
          <w:rFonts w:hint="eastAsia" w:ascii="方正仿宋_GBK" w:hAnsi="方正仿宋_GBK" w:eastAsia="方正仿宋_GBK" w:cs="方正仿宋_GBK"/>
          <w:sz w:val="32"/>
          <w:szCs w:val="32"/>
          <w:shd w:val="clear" w:color="auto" w:fill="FFFF00"/>
        </w:rPr>
        <w:sectPr>
          <w:footerReference r:id="rId3" w:type="default"/>
          <w:pgSz w:w="11915" w:h="16840"/>
          <w:pgMar w:top="1440" w:right="1800" w:bottom="1440" w:left="1800" w:header="851" w:footer="992" w:gutter="0"/>
          <w:pgNumType w:fmt="numberInDash"/>
          <w:cols w:space="720" w:num="1"/>
          <w:docGrid w:type="lines" w:linePitch="312" w:charSpace="0"/>
        </w:sectPr>
      </w:pPr>
    </w:p>
    <w:p>
      <w:pPr>
        <w:rPr>
          <w:rFonts w:hint="default" w:cs="宋体"/>
          <w:sz w:val="21"/>
          <w:szCs w:val="21"/>
        </w:rPr>
      </w:pPr>
    </w:p>
    <w:tbl>
      <w:tblPr>
        <w:tblStyle w:val="7"/>
        <w:tblW w:w="5005" w:type="pct"/>
        <w:tblInd w:w="0" w:type="dxa"/>
        <w:tblLayout w:type="autofit"/>
        <w:tblCellMar>
          <w:top w:w="0" w:type="dxa"/>
          <w:left w:w="0" w:type="dxa"/>
          <w:bottom w:w="0" w:type="dxa"/>
          <w:right w:w="0" w:type="dxa"/>
        </w:tblCellMar>
      </w:tblPr>
      <w:tblGrid>
        <w:gridCol w:w="5122"/>
        <w:gridCol w:w="2020"/>
        <w:gridCol w:w="4809"/>
        <w:gridCol w:w="3442"/>
      </w:tblGrid>
      <w:tr>
        <w:tblPrEx>
          <w:tblCellMar>
            <w:top w:w="0" w:type="dxa"/>
            <w:left w:w="0" w:type="dxa"/>
            <w:bottom w:w="0" w:type="dxa"/>
            <w:right w:w="0" w:type="dxa"/>
          </w:tblCellMar>
        </w:tblPrEx>
        <w:trPr>
          <w:trHeight w:val="232" w:hRule="atLeast"/>
        </w:trPr>
        <w:tc>
          <w:tcPr>
            <w:tcW w:w="5000" w:type="pct"/>
            <w:gridSpan w:val="4"/>
            <w:tcBorders>
              <w:top w:val="nil"/>
              <w:left w:val="nil"/>
              <w:bottom w:val="nil"/>
              <w:right w:val="nil"/>
            </w:tcBorders>
            <w:shd w:val="clear" w:color="auto" w:fill="auto"/>
            <w:noWrap/>
            <w:tcMar>
              <w:top w:w="15" w:type="dxa"/>
              <w:left w:w="15" w:type="dxa"/>
              <w:right w:w="15" w:type="dxa"/>
            </w:tcMar>
            <w:vAlign w:val="bottom"/>
          </w:tcPr>
          <w:p>
            <w:pPr>
              <w:spacing w:line="400" w:lineRule="exact"/>
              <w:jc w:val="center"/>
              <w:textAlignment w:val="bottom"/>
              <w:rPr>
                <w:rFonts w:hint="default" w:cs="宋体"/>
                <w:b/>
                <w:color w:val="000000"/>
                <w:sz w:val="32"/>
                <w:szCs w:val="32"/>
              </w:rPr>
            </w:pPr>
            <w:r>
              <w:rPr>
                <w:rFonts w:cs="宋体"/>
                <w:b/>
                <w:color w:val="000000"/>
                <w:sz w:val="32"/>
                <w:szCs w:val="32"/>
              </w:rPr>
              <w:t>收入支出决算总表</w:t>
            </w:r>
          </w:p>
        </w:tc>
      </w:tr>
      <w:tr>
        <w:tblPrEx>
          <w:tblCellMar>
            <w:top w:w="0" w:type="dxa"/>
            <w:left w:w="0" w:type="dxa"/>
            <w:bottom w:w="0" w:type="dxa"/>
            <w:right w:w="0" w:type="dxa"/>
          </w:tblCellMar>
        </w:tblPrEx>
        <w:trPr>
          <w:trHeight w:val="232" w:hRule="atLeast"/>
        </w:trPr>
        <w:tc>
          <w:tcPr>
            <w:tcW w:w="1664" w:type="pct"/>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ascii="Arial" w:hAnsi="Arial" w:cs="Arial"/>
                <w:color w:val="000000"/>
                <w:sz w:val="20"/>
                <w:szCs w:val="20"/>
              </w:rPr>
            </w:pPr>
          </w:p>
        </w:tc>
        <w:tc>
          <w:tcPr>
            <w:tcW w:w="656" w:type="pct"/>
            <w:tcBorders>
              <w:top w:val="nil"/>
              <w:left w:val="nil"/>
              <w:bottom w:val="nil"/>
              <w:right w:val="nil"/>
            </w:tcBorders>
            <w:shd w:val="clear" w:color="auto" w:fill="auto"/>
            <w:noWrap/>
            <w:tcMar>
              <w:top w:w="15" w:type="dxa"/>
              <w:left w:w="15" w:type="dxa"/>
              <w:right w:w="15" w:type="dxa"/>
            </w:tcMar>
            <w:vAlign w:val="bottom"/>
          </w:tcPr>
          <w:p>
            <w:pPr>
              <w:spacing w:line="200" w:lineRule="exact"/>
              <w:jc w:val="right"/>
              <w:rPr>
                <w:rFonts w:hint="default" w:ascii="Arial" w:hAnsi="Arial" w:cs="Arial"/>
                <w:color w:val="000000"/>
                <w:sz w:val="20"/>
                <w:szCs w:val="20"/>
              </w:rPr>
            </w:pPr>
          </w:p>
        </w:tc>
        <w:tc>
          <w:tcPr>
            <w:tcW w:w="1562" w:type="pct"/>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ascii="Arial" w:hAnsi="Arial" w:cs="Arial"/>
                <w:color w:val="000000"/>
                <w:sz w:val="20"/>
                <w:szCs w:val="20"/>
              </w:rPr>
            </w:pPr>
          </w:p>
        </w:tc>
        <w:tc>
          <w:tcPr>
            <w:tcW w:w="1118" w:type="pct"/>
            <w:tcBorders>
              <w:top w:val="nil"/>
              <w:left w:val="nil"/>
              <w:bottom w:val="nil"/>
              <w:right w:val="nil"/>
            </w:tcBorders>
            <w:shd w:val="clear" w:color="auto" w:fill="auto"/>
            <w:noWrap/>
            <w:tcMar>
              <w:top w:w="15" w:type="dxa"/>
              <w:left w:w="15" w:type="dxa"/>
              <w:right w:w="15" w:type="dxa"/>
            </w:tcMar>
            <w:vAlign w:val="bottom"/>
          </w:tcPr>
          <w:p>
            <w:pPr>
              <w:spacing w:line="280" w:lineRule="exact"/>
              <w:jc w:val="right"/>
              <w:textAlignment w:val="bottom"/>
              <w:rPr>
                <w:rFonts w:hint="default" w:cs="宋体"/>
                <w:color w:val="000000"/>
                <w:sz w:val="20"/>
                <w:szCs w:val="20"/>
              </w:rPr>
            </w:pPr>
            <w:r>
              <w:rPr>
                <w:rFonts w:cs="宋体"/>
                <w:color w:val="000000"/>
                <w:sz w:val="20"/>
                <w:szCs w:val="20"/>
              </w:rPr>
              <w:t>公开01表</w:t>
            </w:r>
          </w:p>
        </w:tc>
      </w:tr>
      <w:tr>
        <w:tblPrEx>
          <w:tblCellMar>
            <w:top w:w="0" w:type="dxa"/>
            <w:left w:w="0" w:type="dxa"/>
            <w:bottom w:w="0" w:type="dxa"/>
            <w:right w:w="0" w:type="dxa"/>
          </w:tblCellMar>
        </w:tblPrEx>
        <w:trPr>
          <w:trHeight w:val="232" w:hRule="atLeast"/>
        </w:trPr>
        <w:tc>
          <w:tcPr>
            <w:tcW w:w="2320" w:type="pct"/>
            <w:gridSpan w:val="2"/>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ascii="Arial" w:hAnsi="Arial" w:cs="Arial"/>
                <w:color w:val="000000"/>
                <w:sz w:val="22"/>
                <w:szCs w:val="22"/>
              </w:rPr>
            </w:pPr>
            <w:r>
              <w:rPr>
                <w:rFonts w:cs="宋体"/>
                <w:sz w:val="20"/>
                <w:szCs w:val="20"/>
              </w:rPr>
              <w:t>公开单位：</w:t>
            </w:r>
            <w:r>
              <w:rPr>
                <w:sz w:val="20"/>
                <w:u w:color="auto"/>
              </w:rPr>
              <w:t>重庆市大足区回龙镇退役军人服务站</w:t>
            </w:r>
          </w:p>
        </w:tc>
        <w:tc>
          <w:tcPr>
            <w:tcW w:w="1562" w:type="pct"/>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ascii="Arial" w:hAnsi="Arial" w:cs="Arial"/>
                <w:color w:val="000000"/>
                <w:sz w:val="22"/>
                <w:szCs w:val="22"/>
              </w:rPr>
            </w:pPr>
          </w:p>
        </w:tc>
        <w:tc>
          <w:tcPr>
            <w:tcW w:w="1118" w:type="pct"/>
            <w:tcBorders>
              <w:top w:val="nil"/>
              <w:left w:val="nil"/>
              <w:bottom w:val="nil"/>
              <w:right w:val="nil"/>
            </w:tcBorders>
            <w:shd w:val="clear" w:color="auto" w:fill="auto"/>
            <w:noWrap/>
            <w:tcMar>
              <w:top w:w="15" w:type="dxa"/>
              <w:left w:w="15" w:type="dxa"/>
              <w:right w:w="15" w:type="dxa"/>
            </w:tcMar>
            <w:vAlign w:val="bottom"/>
          </w:tcPr>
          <w:p>
            <w:pPr>
              <w:spacing w:line="280" w:lineRule="exact"/>
              <w:jc w:val="right"/>
              <w:textAlignment w:val="bottom"/>
              <w:rPr>
                <w:rFonts w:hint="default" w:cs="宋体"/>
                <w:color w:val="000000"/>
                <w:sz w:val="20"/>
                <w:szCs w:val="20"/>
              </w:rPr>
            </w:pPr>
            <w:r>
              <w:rPr>
                <w:rFonts w:cs="宋体"/>
                <w:color w:val="000000"/>
                <w:sz w:val="20"/>
                <w:szCs w:val="20"/>
              </w:rPr>
              <w:t>单位：</w:t>
            </w:r>
            <w:r>
              <w:rPr>
                <w:rFonts w:cs="宋体"/>
                <w:sz w:val="20"/>
                <w:szCs w:val="20"/>
              </w:rPr>
              <w:t>万元</w:t>
            </w:r>
          </w:p>
        </w:tc>
      </w:tr>
      <w:tr>
        <w:tblPrEx>
          <w:tblCellMar>
            <w:top w:w="0" w:type="dxa"/>
            <w:left w:w="0" w:type="dxa"/>
            <w:bottom w:w="0" w:type="dxa"/>
            <w:right w:w="0" w:type="dxa"/>
          </w:tblCellMar>
        </w:tblPrEx>
        <w:trPr>
          <w:trHeight w:val="243" w:hRule="atLeast"/>
        </w:trPr>
        <w:tc>
          <w:tcPr>
            <w:tcW w:w="2320" w:type="pct"/>
            <w:gridSpan w:val="2"/>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jc w:val="center"/>
              <w:textAlignment w:val="center"/>
              <w:rPr>
                <w:rFonts w:hint="default" w:cs="宋体"/>
                <w:b/>
                <w:color w:val="000000"/>
                <w:sz w:val="20"/>
                <w:szCs w:val="20"/>
              </w:rPr>
            </w:pPr>
            <w:r>
              <w:rPr>
                <w:rFonts w:cs="宋体"/>
                <w:b/>
                <w:color w:val="000000"/>
                <w:sz w:val="20"/>
                <w:szCs w:val="20"/>
              </w:rPr>
              <w:t>收入</w:t>
            </w:r>
          </w:p>
        </w:tc>
        <w:tc>
          <w:tcPr>
            <w:tcW w:w="2680" w:type="pct"/>
            <w:gridSpan w:val="2"/>
            <w:tcBorders>
              <w:top w:val="single" w:color="000000" w:sz="4" w:space="0"/>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jc w:val="center"/>
              <w:textAlignment w:val="center"/>
              <w:rPr>
                <w:rFonts w:hint="default" w:cs="宋体"/>
                <w:b/>
                <w:color w:val="000000"/>
                <w:sz w:val="20"/>
                <w:szCs w:val="20"/>
              </w:rPr>
            </w:pPr>
            <w:r>
              <w:rPr>
                <w:rFonts w:cs="宋体"/>
                <w:b/>
                <w:color w:val="000000"/>
                <w:sz w:val="20"/>
                <w:szCs w:val="20"/>
              </w:rPr>
              <w:t>支出</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jc w:val="center"/>
              <w:textAlignment w:val="center"/>
              <w:rPr>
                <w:rFonts w:hint="default" w:cs="宋体"/>
                <w:b/>
                <w:color w:val="000000"/>
                <w:sz w:val="20"/>
                <w:szCs w:val="20"/>
              </w:rPr>
            </w:pPr>
            <w:r>
              <w:rPr>
                <w:rFonts w:cs="宋体"/>
                <w:b/>
                <w:color w:val="000000"/>
                <w:sz w:val="20"/>
                <w:szCs w:val="20"/>
              </w:rPr>
              <w:t>项目</w:t>
            </w:r>
          </w:p>
        </w:tc>
        <w:tc>
          <w:tcPr>
            <w:tcW w:w="656"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jc w:val="center"/>
              <w:textAlignment w:val="center"/>
              <w:rPr>
                <w:rFonts w:hint="default" w:cs="宋体"/>
                <w:b/>
                <w:color w:val="000000"/>
                <w:sz w:val="20"/>
                <w:szCs w:val="20"/>
              </w:rPr>
            </w:pPr>
            <w:r>
              <w:rPr>
                <w:rFonts w:cs="宋体"/>
                <w:b/>
                <w:color w:val="000000"/>
                <w:sz w:val="20"/>
                <w:szCs w:val="20"/>
              </w:rPr>
              <w:t>决算数</w:t>
            </w: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jc w:val="center"/>
              <w:textAlignment w:val="center"/>
              <w:rPr>
                <w:rFonts w:hint="default" w:cs="宋体"/>
                <w:b/>
                <w:color w:val="000000"/>
                <w:sz w:val="20"/>
                <w:szCs w:val="20"/>
              </w:rPr>
            </w:pPr>
            <w:r>
              <w:rPr>
                <w:rFonts w:cs="宋体"/>
                <w:b/>
                <w:color w:val="000000"/>
                <w:sz w:val="20"/>
                <w:szCs w:val="20"/>
              </w:rPr>
              <w:t>功能分类科目</w:t>
            </w:r>
          </w:p>
        </w:tc>
        <w:tc>
          <w:tcPr>
            <w:tcW w:w="1118"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jc w:val="center"/>
              <w:textAlignment w:val="center"/>
              <w:rPr>
                <w:rFonts w:hint="default" w:cs="宋体"/>
                <w:b/>
                <w:color w:val="000000"/>
                <w:sz w:val="20"/>
                <w:szCs w:val="20"/>
              </w:rPr>
            </w:pPr>
            <w:r>
              <w:rPr>
                <w:rFonts w:cs="宋体"/>
                <w:b/>
                <w:color w:val="000000"/>
                <w:sz w:val="20"/>
                <w:szCs w:val="20"/>
              </w:rPr>
              <w:t>决算数</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一、一般公共预算财政拨款收入</w:t>
            </w: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rFonts w:cs="宋体"/>
                <w:color w:val="000000"/>
                <w:sz w:val="20"/>
                <w:szCs w:val="20"/>
              </w:rPr>
              <w:t>33.06</w:t>
            </w:r>
            <w:r>
              <w:rPr>
                <w:color w:val="000000"/>
                <w:sz w:val="20"/>
                <w:u w:color="auto"/>
              </w:rPr>
              <w:t xml:space="preserve"> </w:t>
            </w: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一、一般公共服务支出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二、政府性基金预算财政拨款收入</w:t>
            </w: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二、外交支出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三、国有资本经营预算财政拨款收入</w:t>
            </w: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三、国防支出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四、上级补助收入</w:t>
            </w: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四、公共安全支出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五、事业收入</w:t>
            </w: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五、教育支出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六、经营收入</w:t>
            </w: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六、科学技术支出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七、附属单位上缴收入</w:t>
            </w: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七、文化旅游体育与传媒支出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八、其他收入</w:t>
            </w:r>
          </w:p>
        </w:tc>
        <w:tc>
          <w:tcPr>
            <w:tcW w:w="656" w:type="pct"/>
            <w:tcBorders>
              <w:top w:val="nil"/>
              <w:left w:val="nil"/>
              <w:bottom w:val="nil"/>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八、社会保障和就业支出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rFonts w:cs="宋体"/>
                <w:color w:val="000000"/>
                <w:sz w:val="20"/>
                <w:szCs w:val="20"/>
              </w:rPr>
              <w:t>29.52</w:t>
            </w: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000000"/>
                <w:sz w:val="20"/>
                <w:szCs w:val="20"/>
              </w:rPr>
            </w:pPr>
          </w:p>
        </w:tc>
        <w:tc>
          <w:tcPr>
            <w:tcW w:w="65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40" w:lineRule="exact"/>
              <w:jc w:val="right"/>
              <w:rPr>
                <w:rFonts w:hint="default" w:ascii="Arial" w:hAnsi="Arial" w:cs="Arial"/>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九、卫生健康支出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rFonts w:cs="宋体"/>
                <w:color w:val="000000"/>
                <w:sz w:val="20"/>
                <w:szCs w:val="20"/>
              </w:rPr>
              <w:t>1.78</w:t>
            </w: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000000"/>
                <w:sz w:val="20"/>
                <w:szCs w:val="20"/>
              </w:rPr>
            </w:pPr>
          </w:p>
        </w:tc>
        <w:tc>
          <w:tcPr>
            <w:tcW w:w="65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40" w:lineRule="exact"/>
              <w:jc w:val="right"/>
              <w:rPr>
                <w:rFonts w:hint="default" w:ascii="Arial" w:hAnsi="Arial" w:cs="Arial"/>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十、节能环保支出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000000"/>
                <w:sz w:val="20"/>
                <w:szCs w:val="20"/>
              </w:rPr>
            </w:pPr>
          </w:p>
        </w:tc>
        <w:tc>
          <w:tcPr>
            <w:tcW w:w="65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40" w:lineRule="exact"/>
              <w:jc w:val="right"/>
              <w:rPr>
                <w:rFonts w:hint="default" w:ascii="Arial" w:hAnsi="Arial" w:cs="Arial"/>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十一、城乡社区支出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000000"/>
                <w:sz w:val="20"/>
                <w:szCs w:val="20"/>
              </w:rPr>
            </w:pPr>
          </w:p>
        </w:tc>
        <w:tc>
          <w:tcPr>
            <w:tcW w:w="65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40" w:lineRule="exact"/>
              <w:jc w:val="right"/>
              <w:rPr>
                <w:rFonts w:hint="default" w:ascii="Arial" w:hAnsi="Arial" w:cs="Arial"/>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十二、农林水支出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000000"/>
                <w:sz w:val="20"/>
                <w:szCs w:val="20"/>
              </w:rPr>
            </w:pPr>
          </w:p>
        </w:tc>
        <w:tc>
          <w:tcPr>
            <w:tcW w:w="65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rPr>
                <w:rFonts w:hint="default" w:cs="宋体"/>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十三、交通运输支出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000000"/>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rPr>
                <w:rFonts w:hint="default" w:cs="宋体"/>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十四、资源勘探工业信息等支出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000000"/>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rPr>
                <w:rFonts w:hint="default" w:cs="宋体"/>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十五、商业服务业等支出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000000"/>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rPr>
                <w:rFonts w:hint="default" w:cs="宋体"/>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十六、金融支出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000000"/>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rPr>
                <w:rFonts w:hint="default" w:cs="宋体"/>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十七、援助其他地区支出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000000"/>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rPr>
                <w:rFonts w:hint="default" w:cs="宋体"/>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十八、自然资源海洋气象等支出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000000"/>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rPr>
                <w:rFonts w:hint="default" w:cs="宋体"/>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十九、住房保障支出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rFonts w:cs="宋体"/>
                <w:color w:val="000000"/>
                <w:sz w:val="20"/>
                <w:szCs w:val="20"/>
              </w:rPr>
              <w:t>1.75</w:t>
            </w: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000000"/>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rPr>
                <w:rFonts w:hint="default" w:cs="宋体"/>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二十、粮油物资储备支出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000000"/>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rPr>
                <w:rFonts w:hint="default" w:cs="宋体"/>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二十一、国有资本经营预算支出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000000"/>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rPr>
                <w:rFonts w:hint="default" w:cs="宋体"/>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二十二、灾害防治及应急管理支出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000000"/>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rPr>
                <w:rFonts w:hint="default" w:cs="宋体"/>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二十三、其他支出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jc w:val="center"/>
              <w:rPr>
                <w:rFonts w:hint="default" w:cs="宋体"/>
                <w:b/>
                <w:color w:val="000000"/>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rPr>
                <w:rFonts w:hint="default" w:cs="宋体"/>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二十四、债务还本支出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000000"/>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rPr>
                <w:rFonts w:hint="default" w:cs="宋体"/>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二十五、债务付息支出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000000"/>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rPr>
                <w:rFonts w:hint="default" w:cs="宋体"/>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二十六、抗疫特别国债安排的支出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jc w:val="center"/>
              <w:textAlignment w:val="center"/>
              <w:rPr>
                <w:rFonts w:hint="default" w:cs="宋体"/>
                <w:b/>
                <w:color w:val="000000"/>
                <w:sz w:val="20"/>
                <w:szCs w:val="20"/>
              </w:rPr>
            </w:pPr>
            <w:r>
              <w:rPr>
                <w:rFonts w:cs="宋体"/>
                <w:b/>
                <w:color w:val="000000"/>
                <w:sz w:val="20"/>
                <w:szCs w:val="20"/>
              </w:rPr>
              <w:t>本年收入合计</w:t>
            </w: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rFonts w:cs="宋体"/>
                <w:color w:val="000000"/>
                <w:sz w:val="20"/>
                <w:szCs w:val="20"/>
              </w:rPr>
              <w:t>33.06</w:t>
            </w:r>
            <w:r>
              <w:rPr>
                <w:color w:val="000000"/>
                <w:sz w:val="20"/>
                <w:u w:color="auto"/>
              </w:rPr>
              <w:t xml:space="preserve"> </w:t>
            </w: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jc w:val="center"/>
              <w:textAlignment w:val="center"/>
              <w:rPr>
                <w:rFonts w:hint="default" w:cs="宋体"/>
                <w:b/>
                <w:color w:val="000000"/>
                <w:sz w:val="20"/>
                <w:szCs w:val="20"/>
              </w:rPr>
            </w:pPr>
            <w:r>
              <w:rPr>
                <w:rFonts w:cs="宋体"/>
                <w:b/>
                <w:color w:val="000000"/>
                <w:sz w:val="20"/>
                <w:szCs w:val="20"/>
              </w:rPr>
              <w:t>本年支出合计</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rFonts w:cs="宋体"/>
                <w:color w:val="000000"/>
                <w:sz w:val="20"/>
                <w:szCs w:val="20"/>
              </w:rPr>
              <w:t>33.06</w:t>
            </w: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使用非财政拨款结余和专用结余</w:t>
            </w: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结余分配</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年初结转和结余</w:t>
            </w: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年末结转和结余</w:t>
            </w:r>
          </w:p>
        </w:tc>
        <w:tc>
          <w:tcPr>
            <w:tcW w:w="1118" w:type="pct"/>
            <w:tcBorders>
              <w:top w:val="nil"/>
              <w:left w:val="nil"/>
              <w:bottom w:val="single" w:color="auto"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5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jc w:val="center"/>
              <w:textAlignment w:val="center"/>
              <w:rPr>
                <w:rFonts w:hint="default" w:cs="宋体"/>
                <w:b/>
                <w:color w:val="000000"/>
                <w:sz w:val="20"/>
                <w:szCs w:val="20"/>
              </w:rPr>
            </w:pPr>
            <w:r>
              <w:rPr>
                <w:rFonts w:cs="宋体"/>
                <w:b/>
                <w:color w:val="000000"/>
                <w:sz w:val="20"/>
                <w:szCs w:val="20"/>
              </w:rPr>
              <w:t>总计</w:t>
            </w:r>
          </w:p>
        </w:tc>
        <w:tc>
          <w:tcPr>
            <w:tcW w:w="65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rFonts w:cs="宋体"/>
                <w:color w:val="000000"/>
                <w:sz w:val="20"/>
                <w:szCs w:val="20"/>
              </w:rPr>
              <w:t>33.06</w:t>
            </w:r>
            <w:r>
              <w:rPr>
                <w:color w:val="000000"/>
                <w:sz w:val="20"/>
                <w:u w:color="auto"/>
              </w:rPr>
              <w:t xml:space="preserve"> </w:t>
            </w:r>
          </w:p>
        </w:tc>
        <w:tc>
          <w:tcPr>
            <w:tcW w:w="1562" w:type="pct"/>
            <w:tcBorders>
              <w:top w:val="nil"/>
              <w:left w:val="nil"/>
              <w:bottom w:val="single" w:color="000000" w:sz="4" w:space="0"/>
              <w:right w:val="single" w:color="auto" w:sz="4" w:space="0"/>
            </w:tcBorders>
            <w:shd w:val="clear" w:color="FFFFFF" w:fill="C0C0C0"/>
            <w:noWrap/>
            <w:tcMar>
              <w:top w:w="15" w:type="dxa"/>
              <w:left w:w="15" w:type="dxa"/>
              <w:right w:w="15" w:type="dxa"/>
            </w:tcMar>
            <w:vAlign w:val="center"/>
          </w:tcPr>
          <w:p>
            <w:pPr>
              <w:spacing w:line="240" w:lineRule="exact"/>
              <w:jc w:val="center"/>
              <w:textAlignment w:val="center"/>
              <w:rPr>
                <w:rFonts w:hint="default" w:cs="宋体"/>
                <w:b/>
                <w:color w:val="000000"/>
                <w:sz w:val="20"/>
                <w:szCs w:val="20"/>
              </w:rPr>
            </w:pPr>
            <w:r>
              <w:rPr>
                <w:rFonts w:cs="宋体"/>
                <w:b/>
                <w:color w:val="000000"/>
                <w:sz w:val="20"/>
                <w:szCs w:val="20"/>
              </w:rPr>
              <w:t>总计</w:t>
            </w:r>
          </w:p>
        </w:tc>
        <w:tc>
          <w:tcPr>
            <w:tcW w:w="11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rFonts w:cs="宋体"/>
                <w:color w:val="000000"/>
                <w:sz w:val="20"/>
                <w:szCs w:val="20"/>
              </w:rPr>
              <w:t>33.06</w:t>
            </w:r>
            <w:r>
              <w:rPr>
                <w:color w:val="000000"/>
                <w:sz w:val="20"/>
                <w:u w:color="auto"/>
              </w:rPr>
              <w:t xml:space="preserve"> </w:t>
            </w:r>
          </w:p>
        </w:tc>
      </w:tr>
    </w:tbl>
    <w:p>
      <w:pPr>
        <w:spacing w:line="240" w:lineRule="exact"/>
        <w:rPr>
          <w:rFonts w:hint="default" w:cs="宋体"/>
          <w:sz w:val="20"/>
          <w:szCs w:val="20"/>
        </w:rPr>
      </w:pPr>
      <w:r>
        <w:rPr>
          <w:rFonts w:cs="宋体"/>
          <w:sz w:val="20"/>
          <w:szCs w:val="20"/>
        </w:rPr>
        <w:t>备注：1.本表反映单位本年度的总收支和年末结转结余情况。</w:t>
      </w:r>
      <w:r>
        <w:rPr>
          <w:rFonts w:cs="宋体"/>
          <w:sz w:val="20"/>
          <w:szCs w:val="20"/>
        </w:rPr>
        <w:br w:type="textWrapping"/>
      </w:r>
      <w:r>
        <w:rPr>
          <w:rFonts w:cs="宋体"/>
          <w:sz w:val="20"/>
          <w:szCs w:val="20"/>
        </w:rPr>
        <w:t xml:space="preserve">      2.本套报表金额单位转换时可能存在尾数误差。</w:t>
      </w:r>
      <w:r>
        <w:rPr>
          <w:rFonts w:cs="宋体"/>
          <w:sz w:val="20"/>
          <w:szCs w:val="20"/>
        </w:rPr>
        <w:br w:type="textWrapping"/>
      </w:r>
      <w:r>
        <w:rPr>
          <w:rFonts w:cs="宋体"/>
          <w:sz w:val="20"/>
          <w:szCs w:val="20"/>
        </w:rPr>
        <w:br w:type="textWrapping"/>
      </w:r>
    </w:p>
    <w:tbl>
      <w:tblPr>
        <w:tblStyle w:val="7"/>
        <w:tblW w:w="5000" w:type="pct"/>
        <w:tblInd w:w="0" w:type="dxa"/>
        <w:tblLayout w:type="fixed"/>
        <w:tblCellMar>
          <w:top w:w="0" w:type="dxa"/>
          <w:left w:w="0" w:type="dxa"/>
          <w:bottom w:w="0" w:type="dxa"/>
          <w:right w:w="0" w:type="dxa"/>
        </w:tblCellMar>
      </w:tblPr>
      <w:tblGrid>
        <w:gridCol w:w="1702"/>
        <w:gridCol w:w="3171"/>
        <w:gridCol w:w="1233"/>
        <w:gridCol w:w="1233"/>
        <w:gridCol w:w="1233"/>
        <w:gridCol w:w="1233"/>
        <w:gridCol w:w="1366"/>
        <w:gridCol w:w="1307"/>
        <w:gridCol w:w="1439"/>
        <w:gridCol w:w="1461"/>
      </w:tblGrid>
      <w:tr>
        <w:tblPrEx>
          <w:tblCellMar>
            <w:top w:w="0" w:type="dxa"/>
            <w:left w:w="0" w:type="dxa"/>
            <w:bottom w:w="0" w:type="dxa"/>
            <w:right w:w="0" w:type="dxa"/>
          </w:tblCellMar>
        </w:tblPrEx>
        <w:trPr>
          <w:trHeight w:val="641" w:hRule="atLeast"/>
        </w:trPr>
        <w:tc>
          <w:tcPr>
            <w:tcW w:w="5000" w:type="pct"/>
            <w:gridSpan w:val="10"/>
            <w:tcBorders>
              <w:top w:val="nil"/>
              <w:left w:val="nil"/>
              <w:bottom w:val="nil"/>
              <w:right w:val="nil"/>
            </w:tcBorders>
            <w:shd w:val="clear" w:color="auto" w:fill="auto"/>
            <w:noWrap/>
            <w:tcMar>
              <w:top w:w="15" w:type="dxa"/>
              <w:left w:w="15" w:type="dxa"/>
              <w:right w:w="15" w:type="dxa"/>
            </w:tcMar>
            <w:vAlign w:val="bottom"/>
          </w:tcPr>
          <w:p>
            <w:pPr>
              <w:jc w:val="center"/>
              <w:textAlignment w:val="bottom"/>
              <w:rPr>
                <w:rFonts w:hint="default" w:cs="宋体"/>
                <w:b/>
                <w:color w:val="000000"/>
                <w:sz w:val="32"/>
                <w:szCs w:val="32"/>
              </w:rPr>
            </w:pPr>
            <w:r>
              <w:rPr>
                <w:rFonts w:cs="宋体"/>
                <w:b/>
                <w:color w:val="000000"/>
                <w:sz w:val="32"/>
                <w:szCs w:val="32"/>
              </w:rPr>
              <w:t>收入决算表</w:t>
            </w:r>
          </w:p>
        </w:tc>
      </w:tr>
      <w:tr>
        <w:tblPrEx>
          <w:tblCellMar>
            <w:top w:w="0" w:type="dxa"/>
            <w:left w:w="0" w:type="dxa"/>
            <w:bottom w:w="0" w:type="dxa"/>
            <w:right w:w="0" w:type="dxa"/>
          </w:tblCellMar>
        </w:tblPrEx>
        <w:trPr>
          <w:trHeight w:val="328" w:hRule="atLeast"/>
        </w:trPr>
        <w:tc>
          <w:tcPr>
            <w:tcW w:w="1985" w:type="pct"/>
            <w:gridSpan w:val="3"/>
            <w:vMerge w:val="restart"/>
            <w:tcBorders>
              <w:top w:val="nil"/>
              <w:left w:val="nil"/>
              <w:right w:val="nil"/>
            </w:tcBorders>
            <w:shd w:val="clear" w:color="auto" w:fill="auto"/>
            <w:noWrap/>
            <w:tcMar>
              <w:top w:w="15" w:type="dxa"/>
              <w:left w:w="15" w:type="dxa"/>
              <w:right w:w="15" w:type="dxa"/>
            </w:tcMar>
            <w:vAlign w:val="bottom"/>
          </w:tcPr>
          <w:p>
            <w:pPr>
              <w:rPr>
                <w:rFonts w:hint="default" w:cs="宋体"/>
                <w:color w:val="000000"/>
                <w:sz w:val="20"/>
                <w:szCs w:val="20"/>
              </w:rPr>
            </w:pPr>
            <w:r>
              <w:rPr>
                <w:rFonts w:cs="宋体"/>
                <w:sz w:val="20"/>
                <w:szCs w:val="20"/>
              </w:rPr>
              <w:t>公开单位：</w:t>
            </w:r>
            <w:r>
              <w:rPr>
                <w:sz w:val="20"/>
                <w:u w:color="auto"/>
              </w:rPr>
              <w:t>重庆市大足区回龙镇退役军人服务站</w:t>
            </w:r>
          </w:p>
        </w:tc>
        <w:tc>
          <w:tcPr>
            <w:tcW w:w="401"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401"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401"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444"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425"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468"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475" w:type="pct"/>
            <w:tcBorders>
              <w:top w:val="nil"/>
              <w:left w:val="nil"/>
              <w:bottom w:val="nil"/>
              <w:right w:val="nil"/>
            </w:tcBorders>
            <w:shd w:val="clear" w:color="auto" w:fill="auto"/>
            <w:noWrap/>
            <w:tcMar>
              <w:top w:w="15" w:type="dxa"/>
              <w:left w:w="15" w:type="dxa"/>
              <w:right w:w="15" w:type="dxa"/>
            </w:tcMar>
            <w:vAlign w:val="bottom"/>
          </w:tcPr>
          <w:p>
            <w:pPr>
              <w:jc w:val="right"/>
              <w:textAlignment w:val="bottom"/>
              <w:rPr>
                <w:rFonts w:hint="default" w:cs="宋体"/>
                <w:color w:val="000000"/>
                <w:sz w:val="20"/>
                <w:szCs w:val="20"/>
              </w:rPr>
            </w:pPr>
            <w:r>
              <w:rPr>
                <w:rFonts w:cs="宋体"/>
                <w:color w:val="000000"/>
                <w:sz w:val="20"/>
                <w:szCs w:val="20"/>
              </w:rPr>
              <w:t>公开02表</w:t>
            </w:r>
          </w:p>
        </w:tc>
      </w:tr>
      <w:tr>
        <w:tblPrEx>
          <w:tblCellMar>
            <w:top w:w="0" w:type="dxa"/>
            <w:left w:w="0" w:type="dxa"/>
            <w:bottom w:w="0" w:type="dxa"/>
            <w:right w:w="0" w:type="dxa"/>
          </w:tblCellMar>
        </w:tblPrEx>
        <w:trPr>
          <w:trHeight w:val="328" w:hRule="atLeast"/>
        </w:trPr>
        <w:tc>
          <w:tcPr>
            <w:tcW w:w="1985" w:type="pct"/>
            <w:gridSpan w:val="3"/>
            <w:vMerge w:val="continue"/>
            <w:tcBorders>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401"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401"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401"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444"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425"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468"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475" w:type="pct"/>
            <w:tcBorders>
              <w:top w:val="nil"/>
              <w:left w:val="nil"/>
              <w:bottom w:val="nil"/>
              <w:right w:val="nil"/>
            </w:tcBorders>
            <w:shd w:val="clear" w:color="auto" w:fill="auto"/>
            <w:noWrap/>
            <w:tcMar>
              <w:top w:w="15" w:type="dxa"/>
              <w:left w:w="15" w:type="dxa"/>
              <w:right w:w="15" w:type="dxa"/>
            </w:tcMar>
            <w:vAlign w:val="bottom"/>
          </w:tcPr>
          <w:p>
            <w:pPr>
              <w:jc w:val="right"/>
              <w:textAlignment w:val="bottom"/>
              <w:rPr>
                <w:rFonts w:hint="default" w:cs="宋体"/>
                <w:color w:val="000000"/>
                <w:sz w:val="20"/>
                <w:szCs w:val="20"/>
              </w:rPr>
            </w:pPr>
            <w:r>
              <w:rPr>
                <w:rFonts w:cs="宋体"/>
                <w:color w:val="000000"/>
                <w:sz w:val="20"/>
                <w:szCs w:val="20"/>
              </w:rPr>
              <w:t>单位：</w:t>
            </w:r>
            <w:r>
              <w:rPr>
                <w:rFonts w:cs="宋体"/>
                <w:sz w:val="20"/>
                <w:szCs w:val="20"/>
              </w:rPr>
              <w:t>万元</w:t>
            </w:r>
          </w:p>
        </w:tc>
      </w:tr>
      <w:tr>
        <w:tblPrEx>
          <w:tblCellMar>
            <w:top w:w="0" w:type="dxa"/>
            <w:left w:w="0" w:type="dxa"/>
            <w:bottom w:w="0" w:type="dxa"/>
            <w:right w:w="0" w:type="dxa"/>
          </w:tblCellMar>
        </w:tblPrEx>
        <w:trPr>
          <w:trHeight w:val="431" w:hRule="atLeast"/>
        </w:trPr>
        <w:tc>
          <w:tcPr>
            <w:tcW w:w="1584" w:type="pct"/>
            <w:gridSpan w:val="2"/>
            <w:tcBorders>
              <w:top w:val="single" w:color="000000" w:sz="4" w:space="0"/>
              <w:left w:val="single" w:color="000000" w:sz="4" w:space="0"/>
              <w:bottom w:val="single" w:color="000000" w:sz="4" w:space="0"/>
              <w:right w:val="nil"/>
            </w:tcBorders>
            <w:shd w:val="clear" w:color="auto" w:fill="D0CECE"/>
            <w:noWrap/>
            <w:tcMar>
              <w:top w:w="15" w:type="dxa"/>
              <w:left w:w="15" w:type="dxa"/>
              <w:right w:w="15" w:type="dxa"/>
            </w:tcMar>
            <w:vAlign w:val="bottom"/>
          </w:tcPr>
          <w:p>
            <w:pPr>
              <w:jc w:val="center"/>
              <w:textAlignment w:val="bottom"/>
              <w:rPr>
                <w:rFonts w:hint="default" w:cs="宋体"/>
                <w:b/>
                <w:color w:val="000000"/>
                <w:sz w:val="20"/>
                <w:szCs w:val="20"/>
              </w:rPr>
            </w:pPr>
            <w:r>
              <w:rPr>
                <w:rFonts w:cs="宋体"/>
                <w:b/>
                <w:color w:val="000000"/>
                <w:sz w:val="20"/>
                <w:szCs w:val="20"/>
              </w:rPr>
              <w:t>项目</w:t>
            </w:r>
          </w:p>
        </w:tc>
        <w:tc>
          <w:tcPr>
            <w:tcW w:w="401"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本年收入合计</w:t>
            </w:r>
          </w:p>
        </w:tc>
        <w:tc>
          <w:tcPr>
            <w:tcW w:w="401"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财政拨款收入</w:t>
            </w:r>
          </w:p>
        </w:tc>
        <w:tc>
          <w:tcPr>
            <w:tcW w:w="401"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上级补助收入</w:t>
            </w:r>
          </w:p>
        </w:tc>
        <w:tc>
          <w:tcPr>
            <w:tcW w:w="845" w:type="pct"/>
            <w:gridSpan w:val="2"/>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pPr>
              <w:jc w:val="center"/>
              <w:textAlignment w:val="bottom"/>
              <w:rPr>
                <w:rFonts w:hint="default" w:cs="宋体"/>
                <w:b/>
                <w:color w:val="000000"/>
                <w:sz w:val="20"/>
                <w:szCs w:val="20"/>
              </w:rPr>
            </w:pPr>
            <w:r>
              <w:rPr>
                <w:rFonts w:cs="宋体"/>
                <w:b/>
                <w:color w:val="000000"/>
                <w:sz w:val="20"/>
                <w:szCs w:val="20"/>
              </w:rPr>
              <w:t>事业收入</w:t>
            </w:r>
          </w:p>
        </w:tc>
        <w:tc>
          <w:tcPr>
            <w:tcW w:w="425"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经营收入</w:t>
            </w:r>
          </w:p>
        </w:tc>
        <w:tc>
          <w:tcPr>
            <w:tcW w:w="468"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附属单位上缴收入</w:t>
            </w:r>
          </w:p>
        </w:tc>
        <w:tc>
          <w:tcPr>
            <w:tcW w:w="475"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其他收入</w:t>
            </w:r>
          </w:p>
        </w:tc>
      </w:tr>
      <w:tr>
        <w:tblPrEx>
          <w:tblCellMar>
            <w:top w:w="0" w:type="dxa"/>
            <w:left w:w="0" w:type="dxa"/>
            <w:bottom w:w="0" w:type="dxa"/>
            <w:right w:w="0" w:type="dxa"/>
          </w:tblCellMar>
        </w:tblPrEx>
        <w:trPr>
          <w:trHeight w:val="334" w:hRule="atLeast"/>
        </w:trPr>
        <w:tc>
          <w:tcPr>
            <w:tcW w:w="553" w:type="pct"/>
            <w:vMerge w:val="restar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功能分类科目编码</w:t>
            </w:r>
          </w:p>
        </w:tc>
        <w:tc>
          <w:tcPr>
            <w:tcW w:w="1031" w:type="pct"/>
            <w:vMerge w:val="restart"/>
            <w:tcBorders>
              <w:top w:val="nil"/>
              <w:left w:val="nil"/>
              <w:bottom w:val="single" w:color="000000" w:sz="4" w:space="0"/>
              <w:right w:val="nil"/>
            </w:tcBorders>
            <w:shd w:val="clear" w:color="FFFFFF" w:fill="C0C0C0"/>
            <w:noWrap/>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项目（按“项”级功能分类科目）</w:t>
            </w: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01"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小计</w:t>
            </w:r>
          </w:p>
        </w:tc>
        <w:tc>
          <w:tcPr>
            <w:tcW w:w="444"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其中：教育收费</w:t>
            </w:r>
          </w:p>
        </w:tc>
        <w:tc>
          <w:tcPr>
            <w:tcW w:w="425"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6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75"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r>
      <w:tr>
        <w:tblPrEx>
          <w:tblCellMar>
            <w:top w:w="0" w:type="dxa"/>
            <w:left w:w="0" w:type="dxa"/>
            <w:bottom w:w="0" w:type="dxa"/>
            <w:right w:w="0" w:type="dxa"/>
          </w:tblCellMar>
        </w:tblPrEx>
        <w:trPr>
          <w:trHeight w:val="334" w:hRule="atLeast"/>
        </w:trPr>
        <w:tc>
          <w:tcPr>
            <w:tcW w:w="553" w:type="pct"/>
            <w:vMerge w:val="continue"/>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center"/>
              <w:rPr>
                <w:rFonts w:hint="default" w:cs="宋体"/>
                <w:b/>
                <w:color w:val="000000"/>
                <w:sz w:val="20"/>
                <w:szCs w:val="20"/>
              </w:rPr>
            </w:pPr>
          </w:p>
        </w:tc>
        <w:tc>
          <w:tcPr>
            <w:tcW w:w="1031" w:type="pct"/>
            <w:vMerge w:val="continue"/>
            <w:tcBorders>
              <w:top w:val="nil"/>
              <w:left w:val="nil"/>
              <w:bottom w:val="single" w:color="000000" w:sz="4" w:space="0"/>
              <w:right w:val="nil"/>
            </w:tcBorders>
            <w:shd w:val="clear" w:color="FFFFFF" w:fill="C0C0C0"/>
            <w:noWrap/>
            <w:tcMar>
              <w:top w:w="15" w:type="dxa"/>
              <w:left w:w="15" w:type="dxa"/>
              <w:right w:w="15" w:type="dxa"/>
            </w:tcMar>
            <w:vAlign w:val="center"/>
          </w:tcPr>
          <w:p>
            <w:pPr>
              <w:jc w:val="center"/>
              <w:rPr>
                <w:rFonts w:hint="default"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44"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25"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6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75"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r>
      <w:tr>
        <w:tblPrEx>
          <w:tblCellMar>
            <w:top w:w="0" w:type="dxa"/>
            <w:left w:w="0" w:type="dxa"/>
            <w:bottom w:w="0" w:type="dxa"/>
            <w:right w:w="0" w:type="dxa"/>
          </w:tblCellMar>
        </w:tblPrEx>
        <w:trPr>
          <w:trHeight w:val="334" w:hRule="atLeast"/>
        </w:trPr>
        <w:tc>
          <w:tcPr>
            <w:tcW w:w="553" w:type="pct"/>
            <w:vMerge w:val="continue"/>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center"/>
              <w:rPr>
                <w:rFonts w:hint="default" w:cs="宋体"/>
                <w:b/>
                <w:color w:val="000000"/>
                <w:sz w:val="20"/>
                <w:szCs w:val="20"/>
              </w:rPr>
            </w:pPr>
          </w:p>
        </w:tc>
        <w:tc>
          <w:tcPr>
            <w:tcW w:w="1031" w:type="pct"/>
            <w:vMerge w:val="continue"/>
            <w:tcBorders>
              <w:top w:val="nil"/>
              <w:left w:val="nil"/>
              <w:bottom w:val="single" w:color="000000" w:sz="4" w:space="0"/>
              <w:right w:val="nil"/>
            </w:tcBorders>
            <w:shd w:val="clear" w:color="FFFFFF" w:fill="C0C0C0"/>
            <w:noWrap/>
            <w:tcMar>
              <w:top w:w="15" w:type="dxa"/>
              <w:left w:w="15" w:type="dxa"/>
              <w:right w:w="15" w:type="dxa"/>
            </w:tcMar>
            <w:vAlign w:val="center"/>
          </w:tcPr>
          <w:p>
            <w:pPr>
              <w:jc w:val="center"/>
              <w:rPr>
                <w:rFonts w:hint="default"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44"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25"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6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75"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r>
      <w:tr>
        <w:tblPrEx>
          <w:tblCellMar>
            <w:top w:w="0" w:type="dxa"/>
            <w:left w:w="0" w:type="dxa"/>
            <w:bottom w:w="0" w:type="dxa"/>
            <w:right w:w="0" w:type="dxa"/>
          </w:tblCellMar>
        </w:tblPrEx>
        <w:trPr>
          <w:trHeight w:val="334" w:hRule="atLeast"/>
        </w:trPr>
        <w:tc>
          <w:tcPr>
            <w:tcW w:w="553" w:type="pct"/>
            <w:vMerge w:val="continue"/>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center"/>
              <w:rPr>
                <w:rFonts w:hint="default" w:cs="宋体"/>
                <w:b/>
                <w:color w:val="000000"/>
                <w:sz w:val="20"/>
                <w:szCs w:val="20"/>
              </w:rPr>
            </w:pPr>
          </w:p>
        </w:tc>
        <w:tc>
          <w:tcPr>
            <w:tcW w:w="1031" w:type="pct"/>
            <w:vMerge w:val="continue"/>
            <w:tcBorders>
              <w:top w:val="nil"/>
              <w:left w:val="nil"/>
              <w:bottom w:val="single" w:color="000000" w:sz="4" w:space="0"/>
              <w:right w:val="nil"/>
            </w:tcBorders>
            <w:shd w:val="clear" w:color="FFFFFF" w:fill="C0C0C0"/>
            <w:noWrap/>
            <w:tcMar>
              <w:top w:w="15" w:type="dxa"/>
              <w:left w:w="15" w:type="dxa"/>
              <w:right w:w="15" w:type="dxa"/>
            </w:tcMar>
            <w:vAlign w:val="center"/>
          </w:tcPr>
          <w:p>
            <w:pPr>
              <w:jc w:val="center"/>
              <w:rPr>
                <w:rFonts w:hint="default"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44"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25"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6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75"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r>
      <w:tr>
        <w:tblPrEx>
          <w:tblCellMar>
            <w:top w:w="0" w:type="dxa"/>
            <w:left w:w="0" w:type="dxa"/>
            <w:bottom w:w="0" w:type="dxa"/>
            <w:right w:w="0" w:type="dxa"/>
          </w:tblCellMar>
        </w:tblPrEx>
        <w:trPr>
          <w:trHeight w:val="338" w:hRule="atLeast"/>
        </w:trPr>
        <w:tc>
          <w:tcPr>
            <w:tcW w:w="1584" w:type="pct"/>
            <w:gridSpan w:val="2"/>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合计</w:t>
            </w:r>
          </w:p>
        </w:tc>
        <w:tc>
          <w:tcPr>
            <w:tcW w:w="40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bCs/>
                <w:color w:val="000000"/>
                <w:sz w:val="20"/>
                <w:szCs w:val="20"/>
              </w:rPr>
              <w:t>33.06</w:t>
            </w:r>
            <w:r>
              <w:rPr>
                <w:b/>
                <w:color w:val="000000"/>
                <w:sz w:val="20"/>
                <w:u w:color="auto"/>
              </w:rPr>
              <w:t xml:space="preserve"> </w:t>
            </w:r>
          </w:p>
        </w:tc>
        <w:tc>
          <w:tcPr>
            <w:tcW w:w="40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bCs/>
                <w:color w:val="000000"/>
                <w:sz w:val="20"/>
                <w:szCs w:val="20"/>
              </w:rPr>
              <w:t>33.06</w:t>
            </w:r>
            <w:r>
              <w:rPr>
                <w:b/>
                <w:color w:val="000000"/>
                <w:sz w:val="20"/>
                <w:u w:color="auto"/>
              </w:rPr>
              <w:t xml:space="preserve"> </w:t>
            </w:r>
          </w:p>
        </w:tc>
        <w:tc>
          <w:tcPr>
            <w:tcW w:w="40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c>
          <w:tcPr>
            <w:tcW w:w="40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c>
          <w:tcPr>
            <w:tcW w:w="44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c>
          <w:tcPr>
            <w:tcW w:w="42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c>
          <w:tcPr>
            <w:tcW w:w="46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c>
          <w:tcPr>
            <w:tcW w:w="47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r>
      <w:tr>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208</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社会保障和就业支出</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29.52</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29.52</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20805</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行政事业单位养老支出</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3.51</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3.51</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2080505</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机关事业单位基本养老保险缴费支出</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2.34</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2.34</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2080506</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机关事业单位职业年金缴费支出</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1.17</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1.17</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20828</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退役军人管理事务</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25.97</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25.97</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2082850</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事业运行</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25.97</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25.97</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20899</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其他社会保障和就业支出</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0.04</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0.04</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2089999</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其他社会保障和就业支出</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0.04</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0.04</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210</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卫生健康支出</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1.78</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1.78</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21011</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行政事业单位医疗</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1.78</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1.78</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2101102</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事业单位医疗</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1.46</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1.46</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2101199</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其他行政事业单位医疗支出</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0.32</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0.32</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221</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住房保障支出</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1.75</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1.75</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22102</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住房改革支出</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1.75</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1.75</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2210201</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住房公积金</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1.75</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1.75</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bl>
    <w:p>
      <w:pPr>
        <w:ind w:left="600" w:hanging="600" w:hangingChars="300"/>
        <w:rPr>
          <w:rFonts w:hint="default" w:cs="宋体"/>
          <w:sz w:val="20"/>
          <w:szCs w:val="20"/>
        </w:rPr>
      </w:pPr>
      <w:r>
        <w:rPr>
          <w:rFonts w:cs="宋体"/>
          <w:sz w:val="20"/>
          <w:szCs w:val="20"/>
        </w:rPr>
        <w:t>备注：1.本表反映单位本年度取得的各项收入情况。</w:t>
      </w:r>
      <w:r>
        <w:rPr>
          <w:rFonts w:cs="宋体"/>
          <w:sz w:val="20"/>
          <w:szCs w:val="20"/>
        </w:rPr>
        <w:br w:type="textWrapping"/>
      </w:r>
      <w:r>
        <w:rPr>
          <w:rFonts w:cs="宋体"/>
          <w:sz w:val="20"/>
          <w:szCs w:val="20"/>
        </w:rPr>
        <w:t>2.本套报表金额单位转换时可能存在尾数误差。</w:t>
      </w:r>
      <w:r>
        <w:rPr>
          <w:rFonts w:cs="宋体"/>
          <w:sz w:val="20"/>
          <w:szCs w:val="20"/>
        </w:rPr>
        <w:br w:type="textWrapping"/>
      </w:r>
      <w:r>
        <w:rPr>
          <w:rFonts w:cs="宋体"/>
          <w:sz w:val="20"/>
          <w:szCs w:val="20"/>
        </w:rPr>
        <w:br w:type="textWrapping"/>
      </w:r>
    </w:p>
    <w:p>
      <w:pPr>
        <w:rPr>
          <w:rFonts w:hint="default" w:cs="宋体"/>
          <w:sz w:val="20"/>
          <w:szCs w:val="20"/>
        </w:rPr>
      </w:pPr>
      <w:r>
        <w:rPr>
          <w:rFonts w:cs="宋体"/>
          <w:sz w:val="20"/>
          <w:szCs w:val="20"/>
        </w:rPr>
        <w:br w:type="page"/>
      </w:r>
    </w:p>
    <w:tbl>
      <w:tblPr>
        <w:tblStyle w:val="7"/>
        <w:tblW w:w="5000" w:type="pct"/>
        <w:tblInd w:w="0" w:type="dxa"/>
        <w:tblLayout w:type="autofit"/>
        <w:tblCellMar>
          <w:top w:w="0" w:type="dxa"/>
          <w:left w:w="0" w:type="dxa"/>
          <w:bottom w:w="0" w:type="dxa"/>
          <w:right w:w="0" w:type="dxa"/>
        </w:tblCellMar>
      </w:tblPr>
      <w:tblGrid>
        <w:gridCol w:w="1802"/>
        <w:gridCol w:w="3355"/>
        <w:gridCol w:w="1701"/>
        <w:gridCol w:w="1701"/>
        <w:gridCol w:w="1701"/>
        <w:gridCol w:w="1685"/>
        <w:gridCol w:w="1685"/>
        <w:gridCol w:w="1748"/>
      </w:tblGrid>
      <w:tr>
        <w:tblPrEx>
          <w:tblCellMar>
            <w:top w:w="0" w:type="dxa"/>
            <w:left w:w="0" w:type="dxa"/>
            <w:bottom w:w="0" w:type="dxa"/>
            <w:right w:w="0" w:type="dxa"/>
          </w:tblCellMar>
        </w:tblPrEx>
        <w:trPr>
          <w:trHeight w:val="654" w:hRule="atLeast"/>
        </w:trPr>
        <w:tc>
          <w:tcPr>
            <w:tcW w:w="5000" w:type="pct"/>
            <w:gridSpan w:val="8"/>
            <w:tcBorders>
              <w:top w:val="nil"/>
              <w:left w:val="nil"/>
              <w:bottom w:val="nil"/>
              <w:right w:val="nil"/>
            </w:tcBorders>
            <w:shd w:val="clear" w:color="auto" w:fill="auto"/>
            <w:noWrap/>
            <w:tcMar>
              <w:top w:w="15" w:type="dxa"/>
              <w:left w:w="15" w:type="dxa"/>
              <w:right w:w="15" w:type="dxa"/>
            </w:tcMar>
            <w:vAlign w:val="bottom"/>
          </w:tcPr>
          <w:p>
            <w:pPr>
              <w:jc w:val="center"/>
              <w:textAlignment w:val="bottom"/>
              <w:rPr>
                <w:rFonts w:hint="default" w:cs="宋体"/>
                <w:b/>
                <w:color w:val="000000"/>
                <w:sz w:val="32"/>
                <w:szCs w:val="32"/>
              </w:rPr>
            </w:pPr>
            <w:r>
              <w:rPr>
                <w:rFonts w:cs="宋体"/>
                <w:b/>
                <w:color w:val="000000"/>
                <w:sz w:val="32"/>
                <w:szCs w:val="32"/>
              </w:rPr>
              <w:t>支出决算表</w:t>
            </w:r>
          </w:p>
        </w:tc>
      </w:tr>
      <w:tr>
        <w:tblPrEx>
          <w:tblCellMar>
            <w:top w:w="0" w:type="dxa"/>
            <w:left w:w="0" w:type="dxa"/>
            <w:bottom w:w="0" w:type="dxa"/>
            <w:right w:w="0" w:type="dxa"/>
          </w:tblCellMar>
        </w:tblPrEx>
        <w:trPr>
          <w:trHeight w:val="342" w:hRule="atLeast"/>
        </w:trPr>
        <w:tc>
          <w:tcPr>
            <w:tcW w:w="2230" w:type="pct"/>
            <w:gridSpan w:val="3"/>
            <w:vMerge w:val="restart"/>
            <w:tcBorders>
              <w:top w:val="nil"/>
              <w:left w:val="nil"/>
              <w:right w:val="nil"/>
            </w:tcBorders>
            <w:shd w:val="clear" w:color="auto" w:fill="auto"/>
            <w:noWrap/>
            <w:tcMar>
              <w:top w:w="15" w:type="dxa"/>
              <w:left w:w="15" w:type="dxa"/>
              <w:right w:w="15" w:type="dxa"/>
            </w:tcMar>
            <w:vAlign w:val="bottom"/>
          </w:tcPr>
          <w:p>
            <w:pPr>
              <w:rPr>
                <w:rFonts w:hint="default" w:cs="宋体"/>
                <w:color w:val="000000"/>
                <w:sz w:val="20"/>
                <w:szCs w:val="20"/>
              </w:rPr>
            </w:pPr>
            <w:r>
              <w:rPr>
                <w:rFonts w:cs="宋体"/>
                <w:sz w:val="20"/>
                <w:szCs w:val="20"/>
              </w:rPr>
              <w:t>公开单位</w:t>
            </w:r>
            <w:r>
              <w:rPr>
                <w:rFonts w:cs="宋体"/>
                <w:color w:val="000000"/>
                <w:sz w:val="20"/>
                <w:szCs w:val="20"/>
              </w:rPr>
              <w:t xml:space="preserve">： </w:t>
            </w:r>
            <w:r>
              <w:rPr>
                <w:color w:val="000000"/>
                <w:sz w:val="20"/>
                <w:u w:color="auto"/>
              </w:rPr>
              <w:t xml:space="preserve">重庆市大足区回龙镇退役军人服务站 </w:t>
            </w:r>
          </w:p>
        </w:tc>
        <w:tc>
          <w:tcPr>
            <w:tcW w:w="553"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553"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548"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548"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568" w:type="pct"/>
            <w:tcBorders>
              <w:top w:val="nil"/>
              <w:left w:val="nil"/>
              <w:bottom w:val="nil"/>
              <w:right w:val="nil"/>
            </w:tcBorders>
            <w:shd w:val="clear" w:color="auto" w:fill="auto"/>
            <w:noWrap/>
            <w:tcMar>
              <w:top w:w="15" w:type="dxa"/>
              <w:left w:w="15" w:type="dxa"/>
              <w:right w:w="15" w:type="dxa"/>
            </w:tcMar>
            <w:vAlign w:val="bottom"/>
          </w:tcPr>
          <w:p>
            <w:pPr>
              <w:jc w:val="right"/>
              <w:textAlignment w:val="bottom"/>
              <w:rPr>
                <w:rFonts w:hint="default" w:cs="宋体"/>
                <w:color w:val="000000"/>
                <w:sz w:val="20"/>
                <w:szCs w:val="20"/>
              </w:rPr>
            </w:pPr>
            <w:r>
              <w:rPr>
                <w:rFonts w:cs="宋体"/>
                <w:color w:val="000000"/>
                <w:sz w:val="20"/>
                <w:szCs w:val="20"/>
              </w:rPr>
              <w:t>公开03表</w:t>
            </w:r>
          </w:p>
        </w:tc>
      </w:tr>
      <w:tr>
        <w:tblPrEx>
          <w:tblCellMar>
            <w:top w:w="0" w:type="dxa"/>
            <w:left w:w="0" w:type="dxa"/>
            <w:bottom w:w="0" w:type="dxa"/>
            <w:right w:w="0" w:type="dxa"/>
          </w:tblCellMar>
        </w:tblPrEx>
        <w:trPr>
          <w:trHeight w:val="342" w:hRule="atLeast"/>
        </w:trPr>
        <w:tc>
          <w:tcPr>
            <w:tcW w:w="2230" w:type="pct"/>
            <w:gridSpan w:val="3"/>
            <w:vMerge w:val="continue"/>
            <w:tcBorders>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553"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553"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548"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548"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568" w:type="pct"/>
            <w:tcBorders>
              <w:top w:val="nil"/>
              <w:left w:val="nil"/>
              <w:bottom w:val="nil"/>
              <w:right w:val="nil"/>
            </w:tcBorders>
            <w:shd w:val="clear" w:color="auto" w:fill="auto"/>
            <w:noWrap/>
            <w:tcMar>
              <w:top w:w="15" w:type="dxa"/>
              <w:left w:w="15" w:type="dxa"/>
              <w:right w:w="15" w:type="dxa"/>
            </w:tcMar>
            <w:vAlign w:val="bottom"/>
          </w:tcPr>
          <w:p>
            <w:pPr>
              <w:jc w:val="right"/>
              <w:textAlignment w:val="bottom"/>
              <w:rPr>
                <w:rFonts w:hint="default" w:cs="宋体"/>
                <w:color w:val="000000"/>
                <w:sz w:val="20"/>
                <w:szCs w:val="20"/>
              </w:rPr>
            </w:pPr>
            <w:r>
              <w:rPr>
                <w:rFonts w:cs="宋体"/>
                <w:color w:val="000000"/>
                <w:sz w:val="20"/>
                <w:szCs w:val="20"/>
              </w:rPr>
              <w:t>单位：</w:t>
            </w:r>
            <w:r>
              <w:rPr>
                <w:rFonts w:cs="宋体"/>
                <w:sz w:val="20"/>
                <w:szCs w:val="20"/>
              </w:rPr>
              <w:t>万元</w:t>
            </w:r>
          </w:p>
        </w:tc>
      </w:tr>
      <w:tr>
        <w:tblPrEx>
          <w:tblCellMar>
            <w:top w:w="0" w:type="dxa"/>
            <w:left w:w="0" w:type="dxa"/>
            <w:bottom w:w="0" w:type="dxa"/>
            <w:right w:w="0" w:type="dxa"/>
          </w:tblCellMar>
        </w:tblPrEx>
        <w:trPr>
          <w:trHeight w:val="362" w:hRule="atLeast"/>
        </w:trPr>
        <w:tc>
          <w:tcPr>
            <w:tcW w:w="1677" w:type="pct"/>
            <w:gridSpan w:val="2"/>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pPr>
              <w:jc w:val="center"/>
              <w:textAlignment w:val="bottom"/>
              <w:rPr>
                <w:rFonts w:hint="default" w:cs="宋体"/>
                <w:b/>
                <w:color w:val="000000"/>
                <w:sz w:val="20"/>
                <w:szCs w:val="20"/>
              </w:rPr>
            </w:pPr>
            <w:r>
              <w:rPr>
                <w:rFonts w:cs="宋体"/>
                <w:b/>
                <w:color w:val="000000"/>
                <w:sz w:val="20"/>
                <w:szCs w:val="20"/>
              </w:rPr>
              <w:t>项目</w:t>
            </w:r>
          </w:p>
        </w:tc>
        <w:tc>
          <w:tcPr>
            <w:tcW w:w="553"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本年支出合计</w:t>
            </w:r>
          </w:p>
        </w:tc>
        <w:tc>
          <w:tcPr>
            <w:tcW w:w="553"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基本支出</w:t>
            </w:r>
          </w:p>
        </w:tc>
        <w:tc>
          <w:tcPr>
            <w:tcW w:w="553"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项目支出</w:t>
            </w:r>
          </w:p>
        </w:tc>
        <w:tc>
          <w:tcPr>
            <w:tcW w:w="548"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上缴上级支出</w:t>
            </w:r>
          </w:p>
        </w:tc>
        <w:tc>
          <w:tcPr>
            <w:tcW w:w="548"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经营支出</w:t>
            </w:r>
          </w:p>
        </w:tc>
        <w:tc>
          <w:tcPr>
            <w:tcW w:w="568"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对附属单位补助支出</w:t>
            </w:r>
          </w:p>
        </w:tc>
      </w:tr>
      <w:tr>
        <w:tblPrEx>
          <w:tblCellMar>
            <w:top w:w="0" w:type="dxa"/>
            <w:left w:w="0" w:type="dxa"/>
            <w:bottom w:w="0" w:type="dxa"/>
            <w:right w:w="0" w:type="dxa"/>
          </w:tblCellMar>
        </w:tblPrEx>
        <w:trPr>
          <w:trHeight w:val="338" w:hRule="atLeast"/>
        </w:trPr>
        <w:tc>
          <w:tcPr>
            <w:tcW w:w="586" w:type="pct"/>
            <w:vMerge w:val="restar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功能分类科目编码</w:t>
            </w:r>
          </w:p>
        </w:tc>
        <w:tc>
          <w:tcPr>
            <w:tcW w:w="1091" w:type="pct"/>
            <w:vMerge w:val="restart"/>
            <w:tcBorders>
              <w:top w:val="nil"/>
              <w:left w:val="nil"/>
              <w:bottom w:val="single" w:color="000000" w:sz="4" w:space="0"/>
              <w:right w:val="nil"/>
            </w:tcBorders>
            <w:shd w:val="clear" w:color="FFFFFF" w:fill="C0C0C0"/>
            <w:noWrap/>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项目（按“项”级功能分类科目）</w:t>
            </w:r>
          </w:p>
        </w:tc>
        <w:tc>
          <w:tcPr>
            <w:tcW w:w="55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5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5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4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4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6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r>
      <w:tr>
        <w:tblPrEx>
          <w:tblCellMar>
            <w:top w:w="0" w:type="dxa"/>
            <w:left w:w="0" w:type="dxa"/>
            <w:bottom w:w="0" w:type="dxa"/>
            <w:right w:w="0" w:type="dxa"/>
          </w:tblCellMar>
        </w:tblPrEx>
        <w:trPr>
          <w:trHeight w:val="338" w:hRule="atLeast"/>
        </w:trPr>
        <w:tc>
          <w:tcPr>
            <w:tcW w:w="586" w:type="pct"/>
            <w:vMerge w:val="continue"/>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center"/>
              <w:rPr>
                <w:rFonts w:hint="default" w:cs="宋体"/>
                <w:b/>
                <w:color w:val="000000"/>
                <w:sz w:val="20"/>
                <w:szCs w:val="20"/>
              </w:rPr>
            </w:pPr>
          </w:p>
        </w:tc>
        <w:tc>
          <w:tcPr>
            <w:tcW w:w="1091" w:type="pct"/>
            <w:vMerge w:val="continue"/>
            <w:tcBorders>
              <w:top w:val="nil"/>
              <w:left w:val="nil"/>
              <w:bottom w:val="single" w:color="000000" w:sz="4" w:space="0"/>
              <w:right w:val="nil"/>
            </w:tcBorders>
            <w:shd w:val="clear" w:color="FFFFFF" w:fill="C0C0C0"/>
            <w:noWrap/>
            <w:tcMar>
              <w:top w:w="15" w:type="dxa"/>
              <w:left w:w="15" w:type="dxa"/>
              <w:right w:w="15" w:type="dxa"/>
            </w:tcMar>
            <w:vAlign w:val="center"/>
          </w:tcPr>
          <w:p>
            <w:pPr>
              <w:jc w:val="center"/>
              <w:rPr>
                <w:rFonts w:hint="default" w:cs="宋体"/>
                <w:b/>
                <w:color w:val="000000"/>
                <w:sz w:val="20"/>
                <w:szCs w:val="20"/>
              </w:rPr>
            </w:pPr>
          </w:p>
        </w:tc>
        <w:tc>
          <w:tcPr>
            <w:tcW w:w="55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5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5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4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4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6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r>
      <w:tr>
        <w:tblPrEx>
          <w:tblCellMar>
            <w:top w:w="0" w:type="dxa"/>
            <w:left w:w="0" w:type="dxa"/>
            <w:bottom w:w="0" w:type="dxa"/>
            <w:right w:w="0" w:type="dxa"/>
          </w:tblCellMar>
        </w:tblPrEx>
        <w:trPr>
          <w:trHeight w:val="338" w:hRule="atLeast"/>
        </w:trPr>
        <w:tc>
          <w:tcPr>
            <w:tcW w:w="586" w:type="pct"/>
            <w:vMerge w:val="continue"/>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center"/>
              <w:rPr>
                <w:rFonts w:hint="default" w:cs="宋体"/>
                <w:b/>
                <w:color w:val="000000"/>
                <w:sz w:val="20"/>
                <w:szCs w:val="20"/>
              </w:rPr>
            </w:pPr>
          </w:p>
        </w:tc>
        <w:tc>
          <w:tcPr>
            <w:tcW w:w="1091" w:type="pct"/>
            <w:vMerge w:val="continue"/>
            <w:tcBorders>
              <w:top w:val="nil"/>
              <w:left w:val="nil"/>
              <w:bottom w:val="single" w:color="000000" w:sz="4" w:space="0"/>
              <w:right w:val="nil"/>
            </w:tcBorders>
            <w:shd w:val="clear" w:color="FFFFFF" w:fill="C0C0C0"/>
            <w:noWrap/>
            <w:tcMar>
              <w:top w:w="15" w:type="dxa"/>
              <w:left w:w="15" w:type="dxa"/>
              <w:right w:w="15" w:type="dxa"/>
            </w:tcMar>
            <w:vAlign w:val="center"/>
          </w:tcPr>
          <w:p>
            <w:pPr>
              <w:jc w:val="center"/>
              <w:rPr>
                <w:rFonts w:hint="default" w:cs="宋体"/>
                <w:b/>
                <w:color w:val="000000"/>
                <w:sz w:val="20"/>
                <w:szCs w:val="20"/>
              </w:rPr>
            </w:pPr>
          </w:p>
        </w:tc>
        <w:tc>
          <w:tcPr>
            <w:tcW w:w="55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5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5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4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4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6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r>
      <w:tr>
        <w:tblPrEx>
          <w:tblCellMar>
            <w:top w:w="0" w:type="dxa"/>
            <w:left w:w="0" w:type="dxa"/>
            <w:bottom w:w="0" w:type="dxa"/>
            <w:right w:w="0" w:type="dxa"/>
          </w:tblCellMar>
        </w:tblPrEx>
        <w:trPr>
          <w:trHeight w:val="338" w:hRule="atLeast"/>
        </w:trPr>
        <w:tc>
          <w:tcPr>
            <w:tcW w:w="586" w:type="pct"/>
            <w:vMerge w:val="continue"/>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center"/>
              <w:rPr>
                <w:rFonts w:hint="default" w:cs="宋体"/>
                <w:b/>
                <w:color w:val="000000"/>
                <w:sz w:val="20"/>
                <w:szCs w:val="20"/>
              </w:rPr>
            </w:pPr>
          </w:p>
        </w:tc>
        <w:tc>
          <w:tcPr>
            <w:tcW w:w="1091" w:type="pct"/>
            <w:vMerge w:val="continue"/>
            <w:tcBorders>
              <w:top w:val="nil"/>
              <w:left w:val="nil"/>
              <w:bottom w:val="single" w:color="000000" w:sz="4" w:space="0"/>
              <w:right w:val="nil"/>
            </w:tcBorders>
            <w:shd w:val="clear" w:color="FFFFFF" w:fill="C0C0C0"/>
            <w:noWrap/>
            <w:tcMar>
              <w:top w:w="15" w:type="dxa"/>
              <w:left w:w="15" w:type="dxa"/>
              <w:right w:w="15" w:type="dxa"/>
            </w:tcMar>
            <w:vAlign w:val="center"/>
          </w:tcPr>
          <w:p>
            <w:pPr>
              <w:jc w:val="center"/>
              <w:rPr>
                <w:rFonts w:hint="default" w:cs="宋体"/>
                <w:b/>
                <w:color w:val="000000"/>
                <w:sz w:val="20"/>
                <w:szCs w:val="20"/>
              </w:rPr>
            </w:pPr>
          </w:p>
        </w:tc>
        <w:tc>
          <w:tcPr>
            <w:tcW w:w="55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5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5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4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4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6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r>
      <w:tr>
        <w:tblPrEx>
          <w:tblCellMar>
            <w:top w:w="0" w:type="dxa"/>
            <w:left w:w="0" w:type="dxa"/>
            <w:bottom w:w="0" w:type="dxa"/>
            <w:right w:w="0" w:type="dxa"/>
          </w:tblCellMar>
        </w:tblPrEx>
        <w:trPr>
          <w:trHeight w:val="362" w:hRule="atLeast"/>
        </w:trPr>
        <w:tc>
          <w:tcPr>
            <w:tcW w:w="1677" w:type="pct"/>
            <w:gridSpan w:val="2"/>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合计</w:t>
            </w:r>
          </w:p>
        </w:tc>
        <w:tc>
          <w:tcPr>
            <w:tcW w:w="55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bCs/>
                <w:color w:val="000000"/>
                <w:sz w:val="20"/>
                <w:szCs w:val="20"/>
              </w:rPr>
              <w:t>33.06</w:t>
            </w:r>
            <w:r>
              <w:rPr>
                <w:b/>
                <w:color w:val="000000"/>
                <w:sz w:val="20"/>
                <w:u w:color="auto"/>
              </w:rPr>
              <w:t xml:space="preserve"> </w:t>
            </w:r>
          </w:p>
        </w:tc>
        <w:tc>
          <w:tcPr>
            <w:tcW w:w="55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bCs/>
                <w:color w:val="000000"/>
                <w:sz w:val="20"/>
                <w:szCs w:val="20"/>
              </w:rPr>
              <w:t>33.06</w:t>
            </w:r>
            <w:r>
              <w:rPr>
                <w:b/>
                <w:color w:val="000000"/>
                <w:sz w:val="20"/>
                <w:u w:color="auto"/>
              </w:rPr>
              <w:t xml:space="preserve"> </w:t>
            </w:r>
          </w:p>
        </w:tc>
        <w:tc>
          <w:tcPr>
            <w:tcW w:w="55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c>
          <w:tcPr>
            <w:tcW w:w="54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c>
          <w:tcPr>
            <w:tcW w:w="54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c>
          <w:tcPr>
            <w:tcW w:w="56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r>
      <w:tr>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208</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社会保障和就业支出</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29.52</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29.52</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20805</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行政事业单位养老支出</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3.51</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3.51</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2080505</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机关事业单位基本养老保险缴费支出</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2.34</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2.34</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2080506</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机关事业单位职业年金缴费支出</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1.17</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1.17</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20828</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退役军人管理事务</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25.97</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25.97</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2082850</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事业运行</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25.97</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25.97</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20899</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其他社会保障和就业支出</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0.04</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0.04</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2089999</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其他社会保障和就业支出</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0.04</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0.04</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210</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卫生健康支出</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1.78</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1.78</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21011</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行政事业单位医疗</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1.78</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1.78</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2101102</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事业单位医疗</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1.46</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1.46</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2101199</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其他行政事业单位医疗支出</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0.32</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0.32</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221</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住房保障支出</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1.75</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1.75</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22102</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住房改革支出</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1.75</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1.75</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2210201</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住房公积金</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1.75</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1.75</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bl>
    <w:p>
      <w:pPr>
        <w:rPr>
          <w:rFonts w:hint="default" w:cs="宋体"/>
          <w:sz w:val="20"/>
          <w:szCs w:val="20"/>
        </w:rPr>
      </w:pPr>
      <w:r>
        <w:rPr>
          <w:rFonts w:cs="宋体"/>
          <w:sz w:val="20"/>
          <w:szCs w:val="20"/>
        </w:rPr>
        <w:t>备注：1.本表反映单位本年度各项支出情况。</w:t>
      </w:r>
      <w:r>
        <w:rPr>
          <w:rFonts w:cs="宋体"/>
          <w:sz w:val="20"/>
          <w:szCs w:val="20"/>
        </w:rPr>
        <w:br w:type="textWrapping"/>
      </w:r>
      <w:r>
        <w:rPr>
          <w:rFonts w:cs="宋体"/>
          <w:sz w:val="20"/>
          <w:szCs w:val="20"/>
        </w:rPr>
        <w:t xml:space="preserve">      2.本套报表金额单位转换时可能存在尾数误差。</w:t>
      </w:r>
      <w:r>
        <w:rPr>
          <w:rFonts w:cs="宋体"/>
          <w:sz w:val="20"/>
          <w:szCs w:val="20"/>
        </w:rPr>
        <w:br w:type="textWrapping"/>
      </w:r>
      <w:r>
        <w:rPr>
          <w:rFonts w:cs="宋体"/>
          <w:sz w:val="20"/>
          <w:szCs w:val="20"/>
        </w:rPr>
        <w:br w:type="textWrapping"/>
      </w:r>
    </w:p>
    <w:p>
      <w:pPr>
        <w:rPr>
          <w:rFonts w:hint="default" w:cs="宋体"/>
          <w:sz w:val="21"/>
          <w:szCs w:val="21"/>
        </w:rPr>
      </w:pPr>
      <w:r>
        <w:rPr>
          <w:rFonts w:cs="宋体"/>
          <w:sz w:val="21"/>
          <w:szCs w:val="21"/>
        </w:rPr>
        <w:br w:type="page"/>
      </w:r>
    </w:p>
    <w:p>
      <w:pPr>
        <w:rPr>
          <w:rFonts w:hint="default" w:cs="宋体"/>
          <w:sz w:val="21"/>
          <w:szCs w:val="21"/>
        </w:rPr>
      </w:pPr>
    </w:p>
    <w:tbl>
      <w:tblPr>
        <w:tblStyle w:val="7"/>
        <w:tblW w:w="4790" w:type="pct"/>
        <w:tblInd w:w="0" w:type="dxa"/>
        <w:tblLayout w:type="autofit"/>
        <w:tblCellMar>
          <w:top w:w="0" w:type="dxa"/>
          <w:left w:w="0" w:type="dxa"/>
          <w:bottom w:w="0" w:type="dxa"/>
          <w:right w:w="0" w:type="dxa"/>
        </w:tblCellMar>
      </w:tblPr>
      <w:tblGrid>
        <w:gridCol w:w="2979"/>
        <w:gridCol w:w="1526"/>
        <w:gridCol w:w="3191"/>
        <w:gridCol w:w="1700"/>
        <w:gridCol w:w="1700"/>
        <w:gridCol w:w="1700"/>
        <w:gridCol w:w="1936"/>
      </w:tblGrid>
      <w:tr>
        <w:tblPrEx>
          <w:tblCellMar>
            <w:top w:w="0" w:type="dxa"/>
            <w:left w:w="0" w:type="dxa"/>
            <w:bottom w:w="0" w:type="dxa"/>
            <w:right w:w="0" w:type="dxa"/>
          </w:tblCellMar>
        </w:tblPrEx>
        <w:trPr>
          <w:trHeight w:val="90" w:hRule="atLeast"/>
        </w:trPr>
        <w:tc>
          <w:tcPr>
            <w:tcW w:w="5000" w:type="pct"/>
            <w:gridSpan w:val="7"/>
            <w:tcBorders>
              <w:top w:val="nil"/>
              <w:left w:val="nil"/>
              <w:bottom w:val="nil"/>
              <w:right w:val="nil"/>
            </w:tcBorders>
            <w:shd w:val="clear" w:color="auto" w:fill="auto"/>
            <w:noWrap/>
            <w:tcMar>
              <w:top w:w="15" w:type="dxa"/>
              <w:left w:w="15" w:type="dxa"/>
              <w:right w:w="15" w:type="dxa"/>
            </w:tcMar>
            <w:vAlign w:val="bottom"/>
          </w:tcPr>
          <w:p>
            <w:pPr>
              <w:spacing w:line="400" w:lineRule="exact"/>
              <w:jc w:val="center"/>
              <w:textAlignment w:val="bottom"/>
              <w:rPr>
                <w:rFonts w:hint="default" w:cs="宋体"/>
                <w:b/>
                <w:color w:val="000000"/>
                <w:sz w:val="32"/>
                <w:szCs w:val="32"/>
              </w:rPr>
            </w:pPr>
            <w:r>
              <w:rPr>
                <w:rFonts w:cs="宋体"/>
                <w:b/>
                <w:color w:val="000000"/>
                <w:sz w:val="32"/>
                <w:szCs w:val="32"/>
              </w:rPr>
              <w:t>财政拨款收入支出决算总表</w:t>
            </w:r>
          </w:p>
        </w:tc>
      </w:tr>
      <w:tr>
        <w:tblPrEx>
          <w:tblCellMar>
            <w:top w:w="0" w:type="dxa"/>
            <w:left w:w="0" w:type="dxa"/>
            <w:bottom w:w="0" w:type="dxa"/>
            <w:right w:w="0" w:type="dxa"/>
          </w:tblCellMar>
        </w:tblPrEx>
        <w:trPr>
          <w:trHeight w:val="90" w:hRule="atLeast"/>
        </w:trPr>
        <w:tc>
          <w:tcPr>
            <w:tcW w:w="2612" w:type="pct"/>
            <w:gridSpan w:val="3"/>
            <w:vMerge w:val="restart"/>
            <w:tcBorders>
              <w:top w:val="nil"/>
              <w:left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r>
              <w:rPr>
                <w:rFonts w:cs="宋体"/>
                <w:sz w:val="20"/>
                <w:szCs w:val="20"/>
              </w:rPr>
              <w:t>公开单位</w:t>
            </w:r>
            <w:r>
              <w:rPr>
                <w:rFonts w:cs="宋体"/>
                <w:color w:val="000000"/>
                <w:sz w:val="20"/>
                <w:szCs w:val="20"/>
              </w:rPr>
              <w:t xml:space="preserve">： </w:t>
            </w:r>
            <w:r>
              <w:rPr>
                <w:color w:val="000000"/>
                <w:sz w:val="20"/>
                <w:u w:color="auto"/>
              </w:rPr>
              <w:t>重庆市大足区回龙镇退役军人服务站</w:t>
            </w:r>
          </w:p>
        </w:tc>
        <w:tc>
          <w:tcPr>
            <w:tcW w:w="577" w:type="pct"/>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577" w:type="pct"/>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577" w:type="pct"/>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657" w:type="pct"/>
            <w:tcBorders>
              <w:top w:val="nil"/>
              <w:left w:val="nil"/>
              <w:bottom w:val="nil"/>
              <w:right w:val="nil"/>
            </w:tcBorders>
            <w:shd w:val="clear" w:color="auto" w:fill="auto"/>
            <w:noWrap/>
            <w:tcMar>
              <w:top w:w="15" w:type="dxa"/>
              <w:left w:w="15" w:type="dxa"/>
              <w:right w:w="15" w:type="dxa"/>
            </w:tcMar>
            <w:vAlign w:val="bottom"/>
          </w:tcPr>
          <w:p>
            <w:pPr>
              <w:spacing w:line="240" w:lineRule="exact"/>
              <w:jc w:val="right"/>
              <w:textAlignment w:val="bottom"/>
              <w:rPr>
                <w:rFonts w:hint="default" w:cs="宋体"/>
                <w:color w:val="000000"/>
                <w:sz w:val="20"/>
                <w:szCs w:val="20"/>
              </w:rPr>
            </w:pPr>
            <w:r>
              <w:rPr>
                <w:rFonts w:cs="宋体"/>
                <w:color w:val="000000"/>
                <w:sz w:val="20"/>
                <w:szCs w:val="20"/>
              </w:rPr>
              <w:t>公开04表</w:t>
            </w:r>
          </w:p>
        </w:tc>
      </w:tr>
      <w:tr>
        <w:tblPrEx>
          <w:tblCellMar>
            <w:top w:w="0" w:type="dxa"/>
            <w:left w:w="0" w:type="dxa"/>
            <w:bottom w:w="0" w:type="dxa"/>
            <w:right w:w="0" w:type="dxa"/>
          </w:tblCellMar>
        </w:tblPrEx>
        <w:trPr>
          <w:trHeight w:val="90" w:hRule="atLeast"/>
        </w:trPr>
        <w:tc>
          <w:tcPr>
            <w:tcW w:w="2612" w:type="pct"/>
            <w:gridSpan w:val="3"/>
            <w:vMerge w:val="continue"/>
            <w:tcBorders>
              <w:left w:val="nil"/>
              <w:bottom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577" w:type="pct"/>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577" w:type="pct"/>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577" w:type="pct"/>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657" w:type="pct"/>
            <w:tcBorders>
              <w:top w:val="nil"/>
              <w:left w:val="nil"/>
              <w:bottom w:val="nil"/>
              <w:right w:val="nil"/>
            </w:tcBorders>
            <w:shd w:val="clear" w:color="auto" w:fill="auto"/>
            <w:noWrap/>
            <w:tcMar>
              <w:top w:w="15" w:type="dxa"/>
              <w:left w:w="15" w:type="dxa"/>
              <w:right w:w="15" w:type="dxa"/>
            </w:tcMar>
            <w:vAlign w:val="bottom"/>
          </w:tcPr>
          <w:p>
            <w:pPr>
              <w:spacing w:line="280" w:lineRule="exact"/>
              <w:jc w:val="right"/>
              <w:textAlignment w:val="bottom"/>
              <w:rPr>
                <w:rFonts w:hint="default" w:cs="宋体"/>
                <w:color w:val="000000"/>
                <w:sz w:val="20"/>
                <w:szCs w:val="20"/>
              </w:rPr>
            </w:pPr>
            <w:r>
              <w:rPr>
                <w:rFonts w:cs="宋体"/>
                <w:color w:val="000000"/>
                <w:sz w:val="20"/>
                <w:szCs w:val="20"/>
              </w:rPr>
              <w:t>单位：</w:t>
            </w:r>
            <w:r>
              <w:rPr>
                <w:rFonts w:cs="宋体"/>
                <w:sz w:val="20"/>
                <w:szCs w:val="20"/>
              </w:rPr>
              <w:t>万元</w:t>
            </w:r>
          </w:p>
        </w:tc>
      </w:tr>
      <w:tr>
        <w:tblPrEx>
          <w:tblCellMar>
            <w:top w:w="0" w:type="dxa"/>
            <w:left w:w="0" w:type="dxa"/>
            <w:bottom w:w="0" w:type="dxa"/>
            <w:right w:w="0" w:type="dxa"/>
          </w:tblCellMar>
        </w:tblPrEx>
        <w:trPr>
          <w:trHeight w:val="90" w:hRule="atLeast"/>
        </w:trPr>
        <w:tc>
          <w:tcPr>
            <w:tcW w:w="1529" w:type="pct"/>
            <w:gridSpan w:val="2"/>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收     入</w:t>
            </w:r>
          </w:p>
        </w:tc>
        <w:tc>
          <w:tcPr>
            <w:tcW w:w="3471" w:type="pct"/>
            <w:gridSpan w:val="5"/>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支     出</w:t>
            </w:r>
          </w:p>
        </w:tc>
      </w:tr>
      <w:tr>
        <w:tblPrEx>
          <w:tblCellMar>
            <w:top w:w="0" w:type="dxa"/>
            <w:left w:w="0" w:type="dxa"/>
            <w:bottom w:w="0" w:type="dxa"/>
            <w:right w:w="0" w:type="dxa"/>
          </w:tblCellMar>
        </w:tblPrEx>
        <w:trPr>
          <w:trHeight w:val="90" w:hRule="atLeast"/>
        </w:trPr>
        <w:tc>
          <w:tcPr>
            <w:tcW w:w="1011"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项目</w:t>
            </w:r>
          </w:p>
        </w:tc>
        <w:tc>
          <w:tcPr>
            <w:tcW w:w="518"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决算数</w:t>
            </w:r>
          </w:p>
        </w:tc>
        <w:tc>
          <w:tcPr>
            <w:tcW w:w="1083"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功能分类科目</w:t>
            </w:r>
          </w:p>
        </w:tc>
        <w:tc>
          <w:tcPr>
            <w:tcW w:w="2388" w:type="pct"/>
            <w:gridSpan w:val="4"/>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决算数</w:t>
            </w:r>
          </w:p>
        </w:tc>
      </w:tr>
      <w:tr>
        <w:tblPrEx>
          <w:tblCellMar>
            <w:top w:w="0" w:type="dxa"/>
            <w:left w:w="0" w:type="dxa"/>
            <w:bottom w:w="0" w:type="dxa"/>
            <w:right w:w="0" w:type="dxa"/>
          </w:tblCellMar>
        </w:tblPrEx>
        <w:trPr>
          <w:trHeight w:val="90" w:hRule="atLeast"/>
        </w:trPr>
        <w:tc>
          <w:tcPr>
            <w:tcW w:w="101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rPr>
                <w:rFonts w:hint="default" w:cs="宋体"/>
                <w:b/>
                <w:color w:val="000000"/>
                <w:sz w:val="18"/>
                <w:szCs w:val="18"/>
              </w:rPr>
            </w:pPr>
          </w:p>
        </w:tc>
        <w:tc>
          <w:tcPr>
            <w:tcW w:w="51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rPr>
                <w:rFonts w:hint="default" w:cs="宋体"/>
                <w:b/>
                <w:color w:val="000000"/>
                <w:sz w:val="18"/>
                <w:szCs w:val="18"/>
              </w:rPr>
            </w:pPr>
          </w:p>
        </w:tc>
        <w:tc>
          <w:tcPr>
            <w:tcW w:w="1083"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rPr>
                <w:rFonts w:hint="default" w:cs="宋体"/>
                <w:b/>
                <w:color w:val="000000"/>
                <w:sz w:val="18"/>
                <w:szCs w:val="18"/>
              </w:rPr>
            </w:pPr>
          </w:p>
        </w:tc>
        <w:tc>
          <w:tcPr>
            <w:tcW w:w="57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小计</w:t>
            </w:r>
          </w:p>
        </w:tc>
        <w:tc>
          <w:tcPr>
            <w:tcW w:w="577" w:type="pc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一般公共预算财政拨款</w:t>
            </w:r>
          </w:p>
        </w:tc>
        <w:tc>
          <w:tcPr>
            <w:tcW w:w="577" w:type="pc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政府性基金预算财政拨款</w:t>
            </w:r>
          </w:p>
        </w:tc>
        <w:tc>
          <w:tcPr>
            <w:tcW w:w="657" w:type="pc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国有资本经营预算财政拨款</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一、一般公共预算财政拨款</w:t>
            </w: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33.06</w:t>
            </w:r>
            <w:r>
              <w:rPr>
                <w:color w:val="000000"/>
                <w:sz w:val="18"/>
                <w:u w:color="auto"/>
              </w:rPr>
              <w:t xml:space="preserve"> </w:t>
            </w: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一、一般公共服务支出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二、政府性基金预算财政拨款</w:t>
            </w: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二、外交支出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三、国有资本经营预算财政拨款</w:t>
            </w: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三、国防支出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四、公共安全支出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五、教育支出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六、科学技术支出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七、文化旅游体育与传媒支出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八、社会保障和就业支出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29.52</w:t>
            </w: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29.52</w:t>
            </w: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九、卫生健康支出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1.78</w:t>
            </w: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1.78</w:t>
            </w: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十、节能环保支出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十一、城乡社区支出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十二、农林水支出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十三、交通运输支出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十四、资源勘探工业信息等支出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十五、商业服务业等支出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十六、金融支出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十七、援助其他地区支出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十八、自然资源海洋气象等支出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十九、住房保障支出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1.75</w:t>
            </w: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1.75</w:t>
            </w: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二十、粮油物资储备支出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二十一、国有资本经营预算支出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二十二、灾害防治及应急管理支出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二十三、其他支出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二十四、债务还本支出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二十五、债务付息支出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二十六、抗疫特别国债安排的支出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本年收入合计</w:t>
            </w: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33.06</w:t>
            </w:r>
            <w:r>
              <w:rPr>
                <w:color w:val="000000"/>
                <w:sz w:val="18"/>
                <w:u w:color="auto"/>
              </w:rPr>
              <w:t xml:space="preserve"> </w:t>
            </w: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本年支出合计</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33.06</w:t>
            </w: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33.06</w:t>
            </w: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年初财政拨款结转和结余</w:t>
            </w: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年末财政拨款结转和结余</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一般公共预算财政拨款</w:t>
            </w: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083" w:type="pct"/>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pPr>
              <w:spacing w:line="200" w:lineRule="exact"/>
              <w:rPr>
                <w:rFonts w:hint="default" w:cs="宋体"/>
                <w:color w:val="000000"/>
                <w:sz w:val="18"/>
                <w:szCs w:val="18"/>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政府性基金预算财政拨款</w:t>
            </w: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jc w:val="center"/>
              <w:rPr>
                <w:rFonts w:hint="default" w:cs="宋体"/>
                <w:b/>
                <w:color w:val="000000"/>
                <w:sz w:val="18"/>
                <w:szCs w:val="18"/>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国有资本经营预算财政拨款</w:t>
            </w: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jc w:val="center"/>
              <w:rPr>
                <w:rFonts w:hint="default" w:cs="宋体"/>
                <w:b/>
                <w:color w:val="000000"/>
                <w:sz w:val="18"/>
                <w:szCs w:val="18"/>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总计</w:t>
            </w: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33.06</w:t>
            </w:r>
            <w:r>
              <w:rPr>
                <w:color w:val="000000"/>
                <w:sz w:val="18"/>
                <w:u w:color="auto"/>
              </w:rPr>
              <w:t xml:space="preserve"> </w:t>
            </w: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总计</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33.06</w:t>
            </w: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33.06</w:t>
            </w: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bl>
    <w:p>
      <w:pPr>
        <w:spacing w:line="240" w:lineRule="exact"/>
        <w:rPr>
          <w:rFonts w:hint="default" w:cs="宋体"/>
          <w:sz w:val="20"/>
          <w:szCs w:val="20"/>
        </w:rPr>
      </w:pPr>
      <w:r>
        <w:rPr>
          <w:rFonts w:cs="宋体"/>
          <w:sz w:val="20"/>
          <w:szCs w:val="20"/>
        </w:rPr>
        <w:t>备注：1.本表反映单位本年度一般公共预算财政拨款、政府性基金预算财政拨款及国有资本经营预算财政拨款的总收支和年末结转结余情况。</w:t>
      </w:r>
      <w:r>
        <w:rPr>
          <w:rFonts w:cs="宋体"/>
          <w:sz w:val="20"/>
          <w:szCs w:val="20"/>
        </w:rPr>
        <w:br w:type="textWrapping"/>
      </w:r>
      <w:r>
        <w:rPr>
          <w:rFonts w:cs="宋体"/>
          <w:sz w:val="20"/>
          <w:szCs w:val="20"/>
        </w:rPr>
        <w:t xml:space="preserve">      2.本套报表金额单位转换时可能存在尾数误差。</w:t>
      </w:r>
      <w:r>
        <w:rPr>
          <w:rFonts w:cs="宋体"/>
          <w:sz w:val="20"/>
          <w:szCs w:val="20"/>
        </w:rPr>
        <w:br w:type="textWrapping"/>
      </w:r>
      <w:r>
        <w:rPr>
          <w:rFonts w:cs="宋体"/>
          <w:sz w:val="20"/>
          <w:szCs w:val="20"/>
        </w:rPr>
        <w:br w:type="textWrapping"/>
      </w:r>
      <w:r>
        <w:rPr>
          <w:rFonts w:cs="宋体"/>
          <w:sz w:val="21"/>
          <w:szCs w:val="21"/>
        </w:rPr>
        <w:br w:type="page"/>
      </w:r>
    </w:p>
    <w:tbl>
      <w:tblPr>
        <w:tblStyle w:val="7"/>
        <w:tblW w:w="5000" w:type="pct"/>
        <w:tblInd w:w="0" w:type="dxa"/>
        <w:tblLayout w:type="autofit"/>
        <w:tblCellMar>
          <w:top w:w="0" w:type="dxa"/>
          <w:left w:w="0" w:type="dxa"/>
          <w:bottom w:w="0" w:type="dxa"/>
          <w:right w:w="0" w:type="dxa"/>
        </w:tblCellMar>
      </w:tblPr>
      <w:tblGrid>
        <w:gridCol w:w="1857"/>
        <w:gridCol w:w="3549"/>
        <w:gridCol w:w="3319"/>
        <w:gridCol w:w="3319"/>
        <w:gridCol w:w="3334"/>
      </w:tblGrid>
      <w:tr>
        <w:tblPrEx>
          <w:tblCellMar>
            <w:top w:w="0" w:type="dxa"/>
            <w:left w:w="0" w:type="dxa"/>
            <w:bottom w:w="0" w:type="dxa"/>
            <w:right w:w="0" w:type="dxa"/>
          </w:tblCellMar>
        </w:tblPrEx>
        <w:trPr>
          <w:trHeight w:val="510" w:hRule="atLeast"/>
        </w:trPr>
        <w:tc>
          <w:tcPr>
            <w:tcW w:w="5000" w:type="pct"/>
            <w:gridSpan w:val="5"/>
            <w:tcBorders>
              <w:top w:val="nil"/>
              <w:left w:val="nil"/>
              <w:bottom w:val="nil"/>
              <w:right w:val="nil"/>
            </w:tcBorders>
            <w:shd w:val="clear" w:color="auto" w:fill="auto"/>
            <w:noWrap/>
            <w:tcMar>
              <w:top w:w="15" w:type="dxa"/>
              <w:left w:w="15" w:type="dxa"/>
              <w:right w:w="15" w:type="dxa"/>
            </w:tcMar>
            <w:vAlign w:val="bottom"/>
          </w:tcPr>
          <w:p>
            <w:pPr>
              <w:jc w:val="center"/>
              <w:textAlignment w:val="bottom"/>
              <w:rPr>
                <w:rFonts w:hint="default" w:cs="宋体"/>
                <w:b/>
                <w:color w:val="000000"/>
                <w:sz w:val="32"/>
                <w:szCs w:val="32"/>
              </w:rPr>
            </w:pPr>
            <w:r>
              <w:rPr>
                <w:rFonts w:cs="宋体"/>
                <w:b/>
                <w:color w:val="000000"/>
                <w:sz w:val="32"/>
                <w:szCs w:val="32"/>
              </w:rPr>
              <w:t>一般公共预算财政拨款支出决算表</w:t>
            </w:r>
          </w:p>
        </w:tc>
      </w:tr>
      <w:tr>
        <w:tblPrEx>
          <w:tblCellMar>
            <w:top w:w="0" w:type="dxa"/>
            <w:left w:w="0" w:type="dxa"/>
            <w:bottom w:w="0" w:type="dxa"/>
            <w:right w:w="0" w:type="dxa"/>
          </w:tblCellMar>
        </w:tblPrEx>
        <w:trPr>
          <w:trHeight w:val="255" w:hRule="atLeast"/>
        </w:trPr>
        <w:tc>
          <w:tcPr>
            <w:tcW w:w="2837" w:type="pct"/>
            <w:gridSpan w:val="3"/>
            <w:vMerge w:val="restart"/>
            <w:tcBorders>
              <w:top w:val="nil"/>
              <w:left w:val="nil"/>
              <w:right w:val="nil"/>
            </w:tcBorders>
            <w:shd w:val="clear" w:color="auto" w:fill="auto"/>
            <w:noWrap/>
            <w:tcMar>
              <w:top w:w="15" w:type="dxa"/>
              <w:left w:w="15" w:type="dxa"/>
              <w:right w:w="15" w:type="dxa"/>
            </w:tcMar>
            <w:vAlign w:val="bottom"/>
          </w:tcPr>
          <w:p>
            <w:pPr>
              <w:rPr>
                <w:rFonts w:hint="default" w:cs="宋体"/>
                <w:color w:val="000000"/>
                <w:sz w:val="20"/>
                <w:szCs w:val="20"/>
              </w:rPr>
            </w:pPr>
            <w:r>
              <w:rPr>
                <w:rFonts w:cs="宋体"/>
                <w:sz w:val="20"/>
                <w:szCs w:val="20"/>
              </w:rPr>
              <w:t>公开单位</w:t>
            </w:r>
            <w:r>
              <w:rPr>
                <w:rFonts w:cs="宋体"/>
                <w:color w:val="000000"/>
                <w:sz w:val="20"/>
                <w:szCs w:val="20"/>
              </w:rPr>
              <w:t xml:space="preserve">： </w:t>
            </w:r>
            <w:r>
              <w:rPr>
                <w:color w:val="000000"/>
                <w:sz w:val="20"/>
                <w:u w:color="auto"/>
              </w:rPr>
              <w:t>重庆市大足区回龙镇退役军人服务站</w:t>
            </w:r>
          </w:p>
        </w:tc>
        <w:tc>
          <w:tcPr>
            <w:tcW w:w="1079"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1084" w:type="pct"/>
            <w:tcBorders>
              <w:top w:val="nil"/>
              <w:left w:val="nil"/>
              <w:bottom w:val="nil"/>
              <w:right w:val="nil"/>
            </w:tcBorders>
            <w:shd w:val="clear" w:color="auto" w:fill="auto"/>
            <w:noWrap/>
            <w:tcMar>
              <w:top w:w="15" w:type="dxa"/>
              <w:left w:w="15" w:type="dxa"/>
              <w:right w:w="15" w:type="dxa"/>
            </w:tcMar>
            <w:vAlign w:val="bottom"/>
          </w:tcPr>
          <w:p>
            <w:pPr>
              <w:jc w:val="right"/>
              <w:textAlignment w:val="bottom"/>
              <w:rPr>
                <w:rFonts w:hint="default" w:cs="宋体"/>
                <w:color w:val="000000"/>
                <w:sz w:val="20"/>
                <w:szCs w:val="20"/>
              </w:rPr>
            </w:pPr>
            <w:r>
              <w:rPr>
                <w:rFonts w:cs="宋体"/>
                <w:color w:val="000000"/>
                <w:sz w:val="20"/>
                <w:szCs w:val="20"/>
              </w:rPr>
              <w:t>公开05表</w:t>
            </w:r>
          </w:p>
        </w:tc>
      </w:tr>
      <w:tr>
        <w:tblPrEx>
          <w:tblCellMar>
            <w:top w:w="0" w:type="dxa"/>
            <w:left w:w="0" w:type="dxa"/>
            <w:bottom w:w="0" w:type="dxa"/>
            <w:right w:w="0" w:type="dxa"/>
          </w:tblCellMar>
        </w:tblPrEx>
        <w:trPr>
          <w:trHeight w:val="285" w:hRule="atLeast"/>
        </w:trPr>
        <w:tc>
          <w:tcPr>
            <w:tcW w:w="2837" w:type="pct"/>
            <w:gridSpan w:val="3"/>
            <w:vMerge w:val="continue"/>
            <w:tcBorders>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1079"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1084" w:type="pct"/>
            <w:tcBorders>
              <w:top w:val="nil"/>
              <w:left w:val="nil"/>
              <w:bottom w:val="nil"/>
              <w:right w:val="nil"/>
            </w:tcBorders>
            <w:shd w:val="clear" w:color="auto" w:fill="auto"/>
            <w:noWrap/>
            <w:tcMar>
              <w:top w:w="15" w:type="dxa"/>
              <w:left w:w="15" w:type="dxa"/>
              <w:right w:w="15" w:type="dxa"/>
            </w:tcMar>
            <w:vAlign w:val="bottom"/>
          </w:tcPr>
          <w:p>
            <w:pPr>
              <w:jc w:val="right"/>
              <w:textAlignment w:val="bottom"/>
              <w:rPr>
                <w:rFonts w:hint="default" w:cs="宋体"/>
                <w:color w:val="000000"/>
                <w:sz w:val="20"/>
                <w:szCs w:val="20"/>
              </w:rPr>
            </w:pPr>
            <w:r>
              <w:rPr>
                <w:rFonts w:cs="宋体"/>
                <w:color w:val="000000"/>
                <w:sz w:val="20"/>
                <w:szCs w:val="20"/>
              </w:rPr>
              <w:t>单位：</w:t>
            </w:r>
            <w:r>
              <w:rPr>
                <w:rFonts w:cs="宋体"/>
                <w:sz w:val="20"/>
                <w:szCs w:val="20"/>
              </w:rPr>
              <w:t>万元</w:t>
            </w:r>
          </w:p>
        </w:tc>
      </w:tr>
      <w:tr>
        <w:tblPrEx>
          <w:tblCellMar>
            <w:top w:w="0" w:type="dxa"/>
            <w:left w:w="0" w:type="dxa"/>
            <w:bottom w:w="0" w:type="dxa"/>
            <w:right w:w="0" w:type="dxa"/>
          </w:tblCellMar>
        </w:tblPrEx>
        <w:trPr>
          <w:trHeight w:val="308" w:hRule="atLeast"/>
        </w:trPr>
        <w:tc>
          <w:tcPr>
            <w:tcW w:w="1758" w:type="pct"/>
            <w:gridSpan w:val="2"/>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项目</w:t>
            </w:r>
          </w:p>
        </w:tc>
        <w:tc>
          <w:tcPr>
            <w:tcW w:w="3242" w:type="pct"/>
            <w:gridSpan w:val="3"/>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本年支出</w:t>
            </w:r>
          </w:p>
        </w:tc>
      </w:tr>
      <w:tr>
        <w:tblPrEx>
          <w:tblCellMar>
            <w:top w:w="0" w:type="dxa"/>
            <w:left w:w="0" w:type="dxa"/>
            <w:bottom w:w="0" w:type="dxa"/>
            <w:right w:w="0" w:type="dxa"/>
          </w:tblCellMar>
        </w:tblPrEx>
        <w:trPr>
          <w:trHeight w:val="326" w:hRule="atLeast"/>
        </w:trPr>
        <w:tc>
          <w:tcPr>
            <w:tcW w:w="604" w:type="pct"/>
            <w:vMerge w:val="restart"/>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功能分类科目编码</w:t>
            </w:r>
          </w:p>
        </w:tc>
        <w:tc>
          <w:tcPr>
            <w:tcW w:w="1154"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项目（按“项”级功能分类科目）</w:t>
            </w:r>
          </w:p>
        </w:tc>
        <w:tc>
          <w:tcPr>
            <w:tcW w:w="1079"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合计</w:t>
            </w:r>
          </w:p>
        </w:tc>
        <w:tc>
          <w:tcPr>
            <w:tcW w:w="1079"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基本支出</w:t>
            </w:r>
          </w:p>
        </w:tc>
        <w:tc>
          <w:tcPr>
            <w:tcW w:w="1084"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项目支出</w:t>
            </w:r>
          </w:p>
        </w:tc>
      </w:tr>
      <w:tr>
        <w:tblPrEx>
          <w:tblCellMar>
            <w:top w:w="0" w:type="dxa"/>
            <w:left w:w="0" w:type="dxa"/>
            <w:bottom w:w="0" w:type="dxa"/>
            <w:right w:w="0" w:type="dxa"/>
          </w:tblCellMar>
        </w:tblPrEx>
        <w:trPr>
          <w:trHeight w:val="326" w:hRule="atLeast"/>
        </w:trPr>
        <w:tc>
          <w:tcPr>
            <w:tcW w:w="604" w:type="pct"/>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154"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079"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079"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084"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r>
      <w:tr>
        <w:tblPrEx>
          <w:tblCellMar>
            <w:top w:w="0" w:type="dxa"/>
            <w:left w:w="0" w:type="dxa"/>
            <w:bottom w:w="0" w:type="dxa"/>
            <w:right w:w="0" w:type="dxa"/>
          </w:tblCellMar>
        </w:tblPrEx>
        <w:trPr>
          <w:trHeight w:val="615" w:hRule="atLeast"/>
        </w:trPr>
        <w:tc>
          <w:tcPr>
            <w:tcW w:w="604" w:type="pct"/>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154"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079"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079"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084"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r>
      <w:tr>
        <w:tblPrEx>
          <w:tblCellMar>
            <w:top w:w="0" w:type="dxa"/>
            <w:left w:w="0" w:type="dxa"/>
            <w:bottom w:w="0" w:type="dxa"/>
            <w:right w:w="0" w:type="dxa"/>
          </w:tblCellMar>
        </w:tblPrEx>
        <w:trPr>
          <w:trHeight w:val="308" w:hRule="atLeast"/>
        </w:trPr>
        <w:tc>
          <w:tcPr>
            <w:tcW w:w="1758" w:type="pct"/>
            <w:gridSpan w:val="2"/>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合计</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bCs/>
                <w:color w:val="000000"/>
                <w:sz w:val="20"/>
                <w:szCs w:val="20"/>
              </w:rPr>
              <w:t>33.06</w:t>
            </w:r>
            <w:r>
              <w:rPr>
                <w:b/>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bCs/>
                <w:color w:val="000000"/>
                <w:sz w:val="20"/>
                <w:szCs w:val="20"/>
              </w:rPr>
              <w:t>33.06</w:t>
            </w:r>
            <w:r>
              <w:rPr>
                <w:b/>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r>
      <w:tr>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208</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社会保障和就业支出</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29.52</w:t>
            </w:r>
            <w:r>
              <w:rPr>
                <w:b/>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29.52</w:t>
            </w:r>
            <w:r>
              <w:rPr>
                <w:b/>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20805</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行政事业单位养老支出</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3.51</w:t>
            </w:r>
            <w:r>
              <w:rPr>
                <w:b/>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3.51</w:t>
            </w:r>
            <w:r>
              <w:rPr>
                <w:b/>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2080505</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机关事业单位基本养老保险缴费支出</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color w:val="000000"/>
                <w:sz w:val="20"/>
                <w:szCs w:val="20"/>
              </w:rPr>
              <w:t>2.34</w:t>
            </w:r>
            <w:r>
              <w:rPr>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color w:val="000000"/>
                <w:sz w:val="20"/>
                <w:szCs w:val="20"/>
              </w:rPr>
              <w:t>2.34</w:t>
            </w:r>
            <w:r>
              <w:rPr>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2080506</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机关事业单位职业年金缴费支出</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color w:val="000000"/>
                <w:sz w:val="20"/>
                <w:szCs w:val="20"/>
              </w:rPr>
              <w:t>1.17</w:t>
            </w:r>
            <w:r>
              <w:rPr>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color w:val="000000"/>
                <w:sz w:val="20"/>
                <w:szCs w:val="20"/>
              </w:rPr>
              <w:t>1.17</w:t>
            </w:r>
            <w:r>
              <w:rPr>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20828</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退役军人管理事务</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25.97</w:t>
            </w:r>
            <w:r>
              <w:rPr>
                <w:b/>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25.97</w:t>
            </w:r>
            <w:r>
              <w:rPr>
                <w:b/>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2082850</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事业运行</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color w:val="000000"/>
                <w:sz w:val="20"/>
                <w:szCs w:val="20"/>
              </w:rPr>
              <w:t>25.97</w:t>
            </w:r>
            <w:r>
              <w:rPr>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color w:val="000000"/>
                <w:sz w:val="20"/>
                <w:szCs w:val="20"/>
              </w:rPr>
              <w:t>25.97</w:t>
            </w:r>
            <w:r>
              <w:rPr>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20899</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其他社会保障和就业支出</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0.04</w:t>
            </w:r>
            <w:r>
              <w:rPr>
                <w:b/>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0.04</w:t>
            </w:r>
            <w:r>
              <w:rPr>
                <w:b/>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2089999</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其他社会保障和就业支出</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color w:val="000000"/>
                <w:sz w:val="20"/>
                <w:szCs w:val="20"/>
              </w:rPr>
              <w:t>0.04</w:t>
            </w:r>
            <w:r>
              <w:rPr>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color w:val="000000"/>
                <w:sz w:val="20"/>
                <w:szCs w:val="20"/>
              </w:rPr>
              <w:t>0.04</w:t>
            </w:r>
            <w:r>
              <w:rPr>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210</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卫生健康支出</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1.78</w:t>
            </w:r>
            <w:r>
              <w:rPr>
                <w:b/>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1.78</w:t>
            </w:r>
            <w:r>
              <w:rPr>
                <w:b/>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21011</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行政事业单位医疗</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1.78</w:t>
            </w:r>
            <w:r>
              <w:rPr>
                <w:b/>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1.78</w:t>
            </w:r>
            <w:r>
              <w:rPr>
                <w:b/>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2101102</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事业单位医疗</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color w:val="000000"/>
                <w:sz w:val="20"/>
                <w:szCs w:val="20"/>
              </w:rPr>
              <w:t>1.46</w:t>
            </w:r>
            <w:r>
              <w:rPr>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color w:val="000000"/>
                <w:sz w:val="20"/>
                <w:szCs w:val="20"/>
              </w:rPr>
              <w:t>1.46</w:t>
            </w:r>
            <w:r>
              <w:rPr>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2101199</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其他行政事业单位医疗支出</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color w:val="000000"/>
                <w:sz w:val="20"/>
                <w:szCs w:val="20"/>
              </w:rPr>
              <w:t>0.32</w:t>
            </w:r>
            <w:r>
              <w:rPr>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color w:val="000000"/>
                <w:sz w:val="20"/>
                <w:szCs w:val="20"/>
              </w:rPr>
              <w:t>0.32</w:t>
            </w:r>
            <w:r>
              <w:rPr>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221</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住房保障支出</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1.75</w:t>
            </w:r>
            <w:r>
              <w:rPr>
                <w:b/>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1.75</w:t>
            </w:r>
            <w:r>
              <w:rPr>
                <w:b/>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22102</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住房改革支出</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1.75</w:t>
            </w:r>
            <w:r>
              <w:rPr>
                <w:b/>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1.75</w:t>
            </w:r>
            <w:r>
              <w:rPr>
                <w:b/>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2210201</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住房公积金</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color w:val="000000"/>
                <w:sz w:val="20"/>
                <w:szCs w:val="20"/>
              </w:rPr>
              <w:t>1.75</w:t>
            </w:r>
            <w:r>
              <w:rPr>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color w:val="000000"/>
                <w:sz w:val="20"/>
                <w:szCs w:val="20"/>
              </w:rPr>
              <w:t>1.75</w:t>
            </w:r>
            <w:r>
              <w:rPr>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color w:val="000000"/>
                <w:sz w:val="20"/>
                <w:u w:color="auto"/>
              </w:rPr>
              <w:t xml:space="preserve"> </w:t>
            </w:r>
          </w:p>
        </w:tc>
      </w:tr>
    </w:tbl>
    <w:p>
      <w:pPr>
        <w:rPr>
          <w:rFonts w:hint="default" w:cs="宋体"/>
          <w:sz w:val="21"/>
          <w:szCs w:val="21"/>
        </w:rPr>
      </w:pPr>
      <w:r>
        <w:rPr>
          <w:rFonts w:cs="宋体"/>
          <w:sz w:val="20"/>
          <w:szCs w:val="20"/>
        </w:rPr>
        <w:t>备注：1.本表反映单位本年度一般公共预算财政拨款支出情况。</w:t>
      </w:r>
      <w:r>
        <w:rPr>
          <w:rFonts w:cs="宋体"/>
          <w:sz w:val="20"/>
          <w:szCs w:val="20"/>
        </w:rPr>
        <w:br w:type="textWrapping"/>
      </w:r>
      <w:r>
        <w:rPr>
          <w:rFonts w:cs="宋体"/>
          <w:sz w:val="20"/>
          <w:szCs w:val="20"/>
        </w:rPr>
        <w:t xml:space="preserve">      2.本套报表金额单位转换时可能存在尾数误差。</w:t>
      </w:r>
      <w:r>
        <w:rPr>
          <w:rFonts w:cs="宋体"/>
          <w:sz w:val="20"/>
          <w:szCs w:val="20"/>
        </w:rPr>
        <w:br w:type="textWrapping"/>
      </w:r>
      <w:r>
        <w:rPr>
          <w:rFonts w:cs="宋体"/>
          <w:sz w:val="20"/>
          <w:szCs w:val="20"/>
        </w:rPr>
        <w:br w:type="textWrapping"/>
      </w:r>
    </w:p>
    <w:p>
      <w:pPr>
        <w:ind w:firstLine="630" w:firstLineChars="300"/>
        <w:rPr>
          <w:rFonts w:hint="default" w:cs="宋体"/>
          <w:sz w:val="21"/>
          <w:szCs w:val="21"/>
        </w:rPr>
      </w:pPr>
      <w:r>
        <w:rPr>
          <w:rFonts w:cs="宋体"/>
          <w:sz w:val="21"/>
          <w:szCs w:val="21"/>
        </w:rPr>
        <w:br w:type="page"/>
      </w:r>
    </w:p>
    <w:tbl>
      <w:tblPr>
        <w:tblStyle w:val="7"/>
        <w:tblW w:w="4994" w:type="pct"/>
        <w:tblInd w:w="0" w:type="dxa"/>
        <w:tblLayout w:type="fixed"/>
        <w:tblCellMar>
          <w:top w:w="0" w:type="dxa"/>
          <w:left w:w="0" w:type="dxa"/>
          <w:bottom w:w="0" w:type="dxa"/>
          <w:right w:w="0" w:type="dxa"/>
        </w:tblCellMar>
      </w:tblPr>
      <w:tblGrid>
        <w:gridCol w:w="605"/>
        <w:gridCol w:w="2740"/>
        <w:gridCol w:w="1376"/>
        <w:gridCol w:w="836"/>
        <w:gridCol w:w="1923"/>
        <w:gridCol w:w="1656"/>
        <w:gridCol w:w="808"/>
        <w:gridCol w:w="3527"/>
        <w:gridCol w:w="1889"/>
      </w:tblGrid>
      <w:tr>
        <w:tblPrEx>
          <w:tblCellMar>
            <w:top w:w="0" w:type="dxa"/>
            <w:left w:w="0" w:type="dxa"/>
            <w:bottom w:w="0" w:type="dxa"/>
            <w:right w:w="0" w:type="dxa"/>
          </w:tblCellMar>
        </w:tblPrEx>
        <w:trPr>
          <w:trHeight w:val="90" w:hRule="atLeast"/>
        </w:trPr>
        <w:tc>
          <w:tcPr>
            <w:tcW w:w="5000" w:type="pct"/>
            <w:gridSpan w:val="9"/>
            <w:tcBorders>
              <w:top w:val="nil"/>
              <w:left w:val="nil"/>
              <w:bottom w:val="nil"/>
              <w:right w:val="nil"/>
            </w:tcBorders>
            <w:shd w:val="clear" w:color="auto" w:fill="auto"/>
            <w:noWrap/>
            <w:tcMar>
              <w:top w:w="15" w:type="dxa"/>
              <w:left w:w="15" w:type="dxa"/>
              <w:right w:w="15" w:type="dxa"/>
            </w:tcMar>
            <w:vAlign w:val="bottom"/>
          </w:tcPr>
          <w:p>
            <w:pPr>
              <w:spacing w:line="440" w:lineRule="exact"/>
              <w:jc w:val="center"/>
              <w:textAlignment w:val="bottom"/>
              <w:rPr>
                <w:rFonts w:hint="default" w:cs="宋体"/>
                <w:b/>
                <w:color w:val="000000"/>
                <w:sz w:val="32"/>
                <w:szCs w:val="32"/>
              </w:rPr>
            </w:pPr>
            <w:r>
              <w:rPr>
                <w:rFonts w:cs="宋体"/>
                <w:b/>
                <w:color w:val="000000"/>
                <w:sz w:val="32"/>
                <w:szCs w:val="32"/>
              </w:rPr>
              <w:t>一般公共预算财政拨款基本支出决算表</w:t>
            </w:r>
          </w:p>
        </w:tc>
      </w:tr>
      <w:tr>
        <w:tblPrEx>
          <w:tblCellMar>
            <w:top w:w="0" w:type="dxa"/>
            <w:left w:w="0" w:type="dxa"/>
            <w:bottom w:w="0" w:type="dxa"/>
            <w:right w:w="0" w:type="dxa"/>
          </w:tblCellMar>
        </w:tblPrEx>
        <w:trPr>
          <w:trHeight w:val="90" w:hRule="atLeast"/>
        </w:trPr>
        <w:tc>
          <w:tcPr>
            <w:tcW w:w="1809" w:type="pct"/>
            <w:gridSpan w:val="4"/>
            <w:vMerge w:val="restart"/>
            <w:tcBorders>
              <w:top w:val="nil"/>
              <w:left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r>
              <w:rPr>
                <w:rFonts w:cs="宋体"/>
                <w:sz w:val="20"/>
                <w:szCs w:val="20"/>
              </w:rPr>
              <w:t>公开单位</w:t>
            </w:r>
            <w:r>
              <w:rPr>
                <w:rFonts w:cs="宋体"/>
                <w:color w:val="000000"/>
                <w:sz w:val="20"/>
                <w:szCs w:val="20"/>
              </w:rPr>
              <w:t xml:space="preserve">： </w:t>
            </w:r>
            <w:r>
              <w:rPr>
                <w:color w:val="000000"/>
                <w:sz w:val="20"/>
                <w:u w:color="auto"/>
              </w:rPr>
              <w:t>重庆市大足区回龙镇退役军人服务站</w:t>
            </w:r>
          </w:p>
        </w:tc>
        <w:tc>
          <w:tcPr>
            <w:tcW w:w="626" w:type="pct"/>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539" w:type="pct"/>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263" w:type="pct"/>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1148" w:type="pct"/>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615" w:type="pct"/>
            <w:tcBorders>
              <w:top w:val="nil"/>
              <w:left w:val="nil"/>
              <w:bottom w:val="nil"/>
              <w:right w:val="nil"/>
            </w:tcBorders>
            <w:shd w:val="clear" w:color="auto" w:fill="auto"/>
            <w:noWrap/>
            <w:tcMar>
              <w:top w:w="15" w:type="dxa"/>
              <w:left w:w="15" w:type="dxa"/>
              <w:right w:w="15" w:type="dxa"/>
            </w:tcMar>
            <w:vAlign w:val="bottom"/>
          </w:tcPr>
          <w:p>
            <w:pPr>
              <w:spacing w:line="280" w:lineRule="exact"/>
              <w:jc w:val="right"/>
              <w:textAlignment w:val="bottom"/>
              <w:rPr>
                <w:rFonts w:hint="default" w:cs="宋体"/>
                <w:color w:val="000000"/>
                <w:sz w:val="20"/>
                <w:szCs w:val="20"/>
              </w:rPr>
            </w:pPr>
            <w:r>
              <w:rPr>
                <w:rFonts w:cs="宋体"/>
                <w:color w:val="000000"/>
                <w:sz w:val="20"/>
                <w:szCs w:val="20"/>
              </w:rPr>
              <w:t>公开06表</w:t>
            </w:r>
          </w:p>
        </w:tc>
      </w:tr>
      <w:tr>
        <w:tblPrEx>
          <w:tblCellMar>
            <w:top w:w="0" w:type="dxa"/>
            <w:left w:w="0" w:type="dxa"/>
            <w:bottom w:w="0" w:type="dxa"/>
            <w:right w:w="0" w:type="dxa"/>
          </w:tblCellMar>
        </w:tblPrEx>
        <w:trPr>
          <w:trHeight w:val="90" w:hRule="atLeast"/>
        </w:trPr>
        <w:tc>
          <w:tcPr>
            <w:tcW w:w="1809" w:type="pct"/>
            <w:gridSpan w:val="4"/>
            <w:vMerge w:val="continue"/>
            <w:tcBorders>
              <w:left w:val="nil"/>
              <w:bottom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626" w:type="pct"/>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539" w:type="pct"/>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263" w:type="pct"/>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1148" w:type="pct"/>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615" w:type="pct"/>
            <w:tcBorders>
              <w:top w:val="nil"/>
              <w:left w:val="nil"/>
              <w:bottom w:val="nil"/>
              <w:right w:val="nil"/>
            </w:tcBorders>
            <w:shd w:val="clear" w:color="auto" w:fill="auto"/>
            <w:noWrap/>
            <w:tcMar>
              <w:top w:w="15" w:type="dxa"/>
              <w:left w:w="15" w:type="dxa"/>
              <w:right w:w="15" w:type="dxa"/>
            </w:tcMar>
            <w:vAlign w:val="bottom"/>
          </w:tcPr>
          <w:p>
            <w:pPr>
              <w:spacing w:line="280" w:lineRule="exact"/>
              <w:jc w:val="right"/>
              <w:textAlignment w:val="bottom"/>
              <w:rPr>
                <w:rFonts w:hint="default" w:cs="宋体"/>
                <w:color w:val="000000"/>
                <w:sz w:val="20"/>
                <w:szCs w:val="20"/>
              </w:rPr>
            </w:pPr>
            <w:r>
              <w:rPr>
                <w:rFonts w:cs="宋体"/>
                <w:color w:val="000000"/>
                <w:sz w:val="20"/>
                <w:szCs w:val="20"/>
              </w:rPr>
              <w:t>单位：</w:t>
            </w:r>
            <w:r>
              <w:rPr>
                <w:rFonts w:cs="宋体"/>
                <w:sz w:val="20"/>
                <w:szCs w:val="20"/>
              </w:rPr>
              <w:t>万元</w:t>
            </w:r>
          </w:p>
        </w:tc>
      </w:tr>
      <w:tr>
        <w:tblPrEx>
          <w:tblCellMar>
            <w:top w:w="0" w:type="dxa"/>
            <w:left w:w="0" w:type="dxa"/>
            <w:bottom w:w="0" w:type="dxa"/>
            <w:right w:w="0" w:type="dxa"/>
          </w:tblCellMar>
        </w:tblPrEx>
        <w:trPr>
          <w:trHeight w:val="90" w:hRule="atLeast"/>
        </w:trPr>
        <w:tc>
          <w:tcPr>
            <w:tcW w:w="1537" w:type="pct"/>
            <w:gridSpan w:val="3"/>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人员经费</w:t>
            </w:r>
          </w:p>
        </w:tc>
        <w:tc>
          <w:tcPr>
            <w:tcW w:w="3463" w:type="pct"/>
            <w:gridSpan w:val="6"/>
            <w:tcBorders>
              <w:top w:val="single" w:color="000000" w:sz="4" w:space="0"/>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公用经费</w:t>
            </w:r>
          </w:p>
        </w:tc>
      </w:tr>
      <w:tr>
        <w:tblPrEx>
          <w:tblCellMar>
            <w:top w:w="0" w:type="dxa"/>
            <w:left w:w="0" w:type="dxa"/>
            <w:bottom w:w="0" w:type="dxa"/>
            <w:right w:w="0" w:type="dxa"/>
          </w:tblCellMar>
        </w:tblPrEx>
        <w:trPr>
          <w:trHeight w:val="312" w:hRule="atLeast"/>
        </w:trPr>
        <w:tc>
          <w:tcPr>
            <w:tcW w:w="197" w:type="pct"/>
            <w:vMerge w:val="restart"/>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经济分类科目编码</w:t>
            </w:r>
          </w:p>
        </w:tc>
        <w:tc>
          <w:tcPr>
            <w:tcW w:w="892"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经济分类科目（按“款”级功能分类科目）</w:t>
            </w:r>
          </w:p>
        </w:tc>
        <w:tc>
          <w:tcPr>
            <w:tcW w:w="448"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金额</w:t>
            </w:r>
          </w:p>
        </w:tc>
        <w:tc>
          <w:tcPr>
            <w:tcW w:w="272" w:type="pct"/>
            <w:vMerge w:val="restart"/>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经济分类科目编码</w:t>
            </w:r>
          </w:p>
        </w:tc>
        <w:tc>
          <w:tcPr>
            <w:tcW w:w="626"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经济分类科目（按“款”级功能分类科目）</w:t>
            </w:r>
          </w:p>
        </w:tc>
        <w:tc>
          <w:tcPr>
            <w:tcW w:w="539"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金额</w:t>
            </w:r>
          </w:p>
        </w:tc>
        <w:tc>
          <w:tcPr>
            <w:tcW w:w="263" w:type="pct"/>
            <w:vMerge w:val="restart"/>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经济分类科目编码</w:t>
            </w:r>
          </w:p>
        </w:tc>
        <w:tc>
          <w:tcPr>
            <w:tcW w:w="1148"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经济分类科目（按“款”级功能分类科目）</w:t>
            </w:r>
          </w:p>
        </w:tc>
        <w:tc>
          <w:tcPr>
            <w:tcW w:w="615"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金额</w:t>
            </w:r>
          </w:p>
        </w:tc>
      </w:tr>
      <w:tr>
        <w:tblPrEx>
          <w:tblCellMar>
            <w:top w:w="0" w:type="dxa"/>
            <w:left w:w="0" w:type="dxa"/>
            <w:bottom w:w="0" w:type="dxa"/>
            <w:right w:w="0" w:type="dxa"/>
          </w:tblCellMar>
        </w:tblPrEx>
        <w:trPr>
          <w:trHeight w:val="312" w:hRule="atLeast"/>
        </w:trPr>
        <w:tc>
          <w:tcPr>
            <w:tcW w:w="197" w:type="pct"/>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rPr>
                <w:rFonts w:hint="default" w:cs="宋体"/>
                <w:b/>
                <w:color w:val="000000"/>
                <w:sz w:val="18"/>
                <w:szCs w:val="18"/>
              </w:rPr>
            </w:pPr>
          </w:p>
        </w:tc>
        <w:tc>
          <w:tcPr>
            <w:tcW w:w="892"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rPr>
                <w:rFonts w:hint="default" w:cs="宋体"/>
                <w:b/>
                <w:color w:val="000000"/>
                <w:sz w:val="18"/>
                <w:szCs w:val="18"/>
              </w:rPr>
            </w:pPr>
          </w:p>
        </w:tc>
        <w:tc>
          <w:tcPr>
            <w:tcW w:w="448"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rPr>
                <w:rFonts w:hint="default" w:cs="宋体"/>
                <w:b/>
                <w:color w:val="000000"/>
                <w:sz w:val="18"/>
                <w:szCs w:val="18"/>
              </w:rPr>
            </w:pPr>
          </w:p>
        </w:tc>
        <w:tc>
          <w:tcPr>
            <w:tcW w:w="272" w:type="pct"/>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rPr>
                <w:rFonts w:hint="default" w:cs="宋体"/>
                <w:b/>
                <w:color w:val="000000"/>
                <w:sz w:val="18"/>
                <w:szCs w:val="18"/>
              </w:rPr>
            </w:pPr>
          </w:p>
        </w:tc>
        <w:tc>
          <w:tcPr>
            <w:tcW w:w="626"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rPr>
                <w:rFonts w:hint="default" w:cs="宋体"/>
                <w:b/>
                <w:color w:val="000000"/>
                <w:sz w:val="18"/>
                <w:szCs w:val="18"/>
              </w:rPr>
            </w:pPr>
          </w:p>
        </w:tc>
        <w:tc>
          <w:tcPr>
            <w:tcW w:w="539"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rPr>
                <w:rFonts w:hint="default" w:cs="宋体"/>
                <w:b/>
                <w:color w:val="000000"/>
                <w:sz w:val="18"/>
                <w:szCs w:val="18"/>
              </w:rPr>
            </w:pPr>
          </w:p>
        </w:tc>
        <w:tc>
          <w:tcPr>
            <w:tcW w:w="263" w:type="pct"/>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rPr>
                <w:rFonts w:hint="default" w:cs="宋体"/>
                <w:b/>
                <w:color w:val="000000"/>
                <w:sz w:val="18"/>
                <w:szCs w:val="18"/>
              </w:rPr>
            </w:pPr>
          </w:p>
        </w:tc>
        <w:tc>
          <w:tcPr>
            <w:tcW w:w="1148"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rPr>
                <w:rFonts w:hint="default" w:cs="宋体"/>
                <w:b/>
                <w:color w:val="000000"/>
                <w:sz w:val="18"/>
                <w:szCs w:val="18"/>
              </w:rPr>
            </w:pPr>
          </w:p>
        </w:tc>
        <w:tc>
          <w:tcPr>
            <w:tcW w:w="615"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rPr>
                <w:rFonts w:hint="default" w:cs="宋体"/>
                <w:b/>
                <w:color w:val="000000"/>
                <w:sz w:val="18"/>
                <w:szCs w:val="18"/>
              </w:rPr>
            </w:pP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301</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工资福利支出</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32.11</w:t>
            </w: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商品和服务支出</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0.95</w:t>
            </w: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资本性支出</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30101</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基本工资</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7.83</w:t>
            </w: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30201</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办公费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31001</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房屋建筑物购建</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30102</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津贴补贴</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1.35</w:t>
            </w: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30202</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印刷费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31002</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办公设备购置</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30103</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奖金</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30203</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咨询费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31003</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专用设备购置</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30106</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伙食补助费</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30204</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手续费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31005</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基础设施建设</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30107</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绩效工资</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15.84</w:t>
            </w: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30205</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水费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31006</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大型修缮</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30108</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机关事业单位基本养老保险缴费</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2.34</w:t>
            </w: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30206</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电费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31007</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信息网络及软件购置更新</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30109</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职业年金缴费</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1.17</w:t>
            </w: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30207</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邮电费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31008</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物资储备</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30110</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职工基本医疗保险缴费</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1.46</w:t>
            </w: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30208</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取暖费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31009</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土地补偿</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30111</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公务员医疗补助缴费</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30209</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物业管理费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31010</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安置补助</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30112</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其他社会保障缴费</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0.04</w:t>
            </w: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30211</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差旅费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31011</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地上附着物和青苗补偿</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30113</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住房公积金</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1.75</w:t>
            </w: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30212</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因公出国（境）费用</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31012</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拆迁补偿</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30114</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医疗费</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0.32</w:t>
            </w: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30213</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维修（护）费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31013</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公务用车购置</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30199</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其他工资福利支出</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30214</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租赁费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31019</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其他交通工具购置</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303</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对个人和家庭的补助</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30215</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会议费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31021</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文物和陈列品购置</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30301</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离休费</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30216</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培训费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0.02</w:t>
            </w: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31022</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无形资产购置</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30302</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退休费</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30217</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公务接待费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31099</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其他资本性支出</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30303</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退职（役）费</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30218</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专用材料费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312</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对企业补助</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30304</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抚恤金</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30224</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被装购置费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31201</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资本金注入</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30305</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生活补助</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30225</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专用燃料费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31203</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政府投资基金股权投资</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30306</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救济费</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30226</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劳务费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31204</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费用补贴</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30307</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医疗费补助</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30227</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委托业务费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31205</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利息补贴</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30308</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助学金</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30228</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工会经费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0.29</w:t>
            </w: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31299</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其他对企业补助</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30309</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奖励金</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30229</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福利费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0.44</w:t>
            </w: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399</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其他支出</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30310</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个人农业生产补贴</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30231</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公务用车运行维护费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39907</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国家赔偿费用支出</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30311</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代缴社会保险费</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30239</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其他交通费用</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39908</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对民间非营利组织和群众性自治组织补贴</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30399</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其他对个人和家庭的补助</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30240</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税金及附加费用</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39909</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经常性赠与</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30299</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其他商品和服务支出</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0.20</w:t>
            </w: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39910</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资本性赠与</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307</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债务利息及费用支出</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39999</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其他支出</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30701</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国内债务付息</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30702</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国外债务付息</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30703</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国内债务发行费用</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30704</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国外债务发行费用</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r>
      <w:tr>
        <w:tblPrEx>
          <w:tblCellMar>
            <w:top w:w="0" w:type="dxa"/>
            <w:left w:w="0" w:type="dxa"/>
            <w:bottom w:w="0" w:type="dxa"/>
            <w:right w:w="0" w:type="dxa"/>
          </w:tblCellMar>
        </w:tblPrEx>
        <w:trPr>
          <w:trHeight w:val="90" w:hRule="atLeast"/>
        </w:trPr>
        <w:tc>
          <w:tcPr>
            <w:tcW w:w="1089" w:type="pct"/>
            <w:gridSpan w:val="2"/>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人员经费合计</w:t>
            </w:r>
          </w:p>
        </w:tc>
        <w:tc>
          <w:tcPr>
            <w:tcW w:w="448"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ordWrap w:val="0"/>
              <w:spacing w:line="200" w:lineRule="exact"/>
              <w:jc w:val="right"/>
              <w:textAlignment w:val="bottom"/>
              <w:rPr>
                <w:rFonts w:hint="default" w:cs="宋体"/>
                <w:color w:val="000000"/>
                <w:sz w:val="18"/>
                <w:szCs w:val="18"/>
              </w:rPr>
            </w:pPr>
            <w:r>
              <w:rPr>
                <w:rFonts w:cs="宋体"/>
                <w:color w:val="000000"/>
                <w:sz w:val="18"/>
                <w:szCs w:val="18"/>
              </w:rPr>
              <w:t>32.11</w:t>
            </w:r>
            <w:r>
              <w:rPr>
                <w:color w:val="000000"/>
                <w:sz w:val="18"/>
                <w:u w:color="auto"/>
              </w:rPr>
              <w:t xml:space="preserve"> </w:t>
            </w:r>
          </w:p>
        </w:tc>
        <w:tc>
          <w:tcPr>
            <w:tcW w:w="2848" w:type="pct"/>
            <w:gridSpan w:val="5"/>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公用经费合计</w:t>
            </w:r>
          </w:p>
        </w:tc>
        <w:tc>
          <w:tcPr>
            <w:tcW w:w="61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0.95</w:t>
            </w:r>
            <w:r>
              <w:rPr>
                <w:color w:val="000000"/>
                <w:sz w:val="18"/>
                <w:u w:color="auto"/>
              </w:rPr>
              <w:t xml:space="preserve"> </w:t>
            </w:r>
          </w:p>
        </w:tc>
      </w:tr>
    </w:tbl>
    <w:p>
      <w:pPr>
        <w:spacing w:line="280" w:lineRule="exact"/>
        <w:rPr>
          <w:rFonts w:hint="default" w:cs="宋体"/>
          <w:sz w:val="20"/>
          <w:szCs w:val="20"/>
        </w:rPr>
      </w:pPr>
      <w:r>
        <w:rPr>
          <w:rFonts w:cs="宋体"/>
          <w:sz w:val="20"/>
          <w:szCs w:val="20"/>
        </w:rPr>
        <w:t>备注：1.本表反映单位本年度一般公共预算财政拨款基本支出明细情况。</w:t>
      </w:r>
      <w:r>
        <w:rPr>
          <w:rFonts w:cs="宋体"/>
          <w:sz w:val="20"/>
          <w:szCs w:val="20"/>
        </w:rPr>
        <w:br w:type="textWrapping"/>
      </w:r>
      <w:r>
        <w:rPr>
          <w:rFonts w:cs="宋体"/>
          <w:sz w:val="20"/>
          <w:szCs w:val="20"/>
        </w:rPr>
        <w:t xml:space="preserve">      2.本套报表金额单位转换时可能存在尾数误差。</w:t>
      </w:r>
      <w:r>
        <w:rPr>
          <w:rFonts w:cs="宋体"/>
          <w:sz w:val="20"/>
          <w:szCs w:val="20"/>
        </w:rPr>
        <w:br w:type="textWrapping"/>
      </w:r>
      <w:r>
        <w:rPr>
          <w:rFonts w:cs="宋体"/>
          <w:sz w:val="20"/>
          <w:szCs w:val="20"/>
        </w:rPr>
        <w:br w:type="textWrapping"/>
      </w:r>
      <w:r>
        <w:rPr>
          <w:rFonts w:cs="宋体"/>
          <w:sz w:val="21"/>
          <w:szCs w:val="21"/>
        </w:rPr>
        <w:br w:type="page"/>
      </w:r>
    </w:p>
    <w:tbl>
      <w:tblPr>
        <w:tblStyle w:val="7"/>
        <w:tblW w:w="5000" w:type="pct"/>
        <w:tblInd w:w="0" w:type="dxa"/>
        <w:tblLayout w:type="autofit"/>
        <w:tblCellMar>
          <w:top w:w="0" w:type="dxa"/>
          <w:left w:w="0" w:type="dxa"/>
          <w:bottom w:w="0" w:type="dxa"/>
          <w:right w:w="0" w:type="dxa"/>
        </w:tblCellMar>
      </w:tblPr>
      <w:tblGrid>
        <w:gridCol w:w="1854"/>
        <w:gridCol w:w="3088"/>
        <w:gridCol w:w="1707"/>
        <w:gridCol w:w="1707"/>
        <w:gridCol w:w="1707"/>
        <w:gridCol w:w="1707"/>
        <w:gridCol w:w="1772"/>
        <w:gridCol w:w="1836"/>
      </w:tblGrid>
      <w:tr>
        <w:tblPrEx>
          <w:tblCellMar>
            <w:top w:w="0" w:type="dxa"/>
            <w:left w:w="0" w:type="dxa"/>
            <w:bottom w:w="0" w:type="dxa"/>
            <w:right w:w="0" w:type="dxa"/>
          </w:tblCellMar>
        </w:tblPrEx>
        <w:trPr>
          <w:trHeight w:val="644" w:hRule="atLeast"/>
        </w:trPr>
        <w:tc>
          <w:tcPr>
            <w:tcW w:w="5000" w:type="pct"/>
            <w:gridSpan w:val="8"/>
            <w:tcBorders>
              <w:top w:val="nil"/>
              <w:left w:val="nil"/>
              <w:bottom w:val="nil"/>
              <w:right w:val="nil"/>
            </w:tcBorders>
            <w:shd w:val="clear" w:color="auto" w:fill="auto"/>
            <w:noWrap/>
            <w:tcMar>
              <w:top w:w="15" w:type="dxa"/>
              <w:left w:w="15" w:type="dxa"/>
              <w:right w:w="15" w:type="dxa"/>
            </w:tcMar>
            <w:vAlign w:val="bottom"/>
          </w:tcPr>
          <w:p>
            <w:pPr>
              <w:jc w:val="center"/>
              <w:textAlignment w:val="bottom"/>
              <w:rPr>
                <w:rFonts w:hint="default" w:cs="宋体"/>
                <w:b/>
                <w:color w:val="000000"/>
                <w:sz w:val="32"/>
                <w:szCs w:val="32"/>
              </w:rPr>
            </w:pPr>
            <w:r>
              <w:rPr>
                <w:rFonts w:cs="宋体"/>
                <w:b/>
                <w:color w:val="000000"/>
                <w:sz w:val="32"/>
                <w:szCs w:val="32"/>
              </w:rPr>
              <w:t>政府性基金预算财政拨款收入支出决算表</w:t>
            </w:r>
          </w:p>
        </w:tc>
      </w:tr>
      <w:tr>
        <w:tblPrEx>
          <w:tblCellMar>
            <w:top w:w="0" w:type="dxa"/>
            <w:left w:w="0" w:type="dxa"/>
            <w:bottom w:w="0" w:type="dxa"/>
            <w:right w:w="0" w:type="dxa"/>
          </w:tblCellMar>
        </w:tblPrEx>
        <w:trPr>
          <w:trHeight w:val="329" w:hRule="atLeast"/>
        </w:trPr>
        <w:tc>
          <w:tcPr>
            <w:tcW w:w="2162" w:type="pct"/>
            <w:gridSpan w:val="3"/>
            <w:vMerge w:val="restart"/>
            <w:tcBorders>
              <w:top w:val="nil"/>
              <w:left w:val="nil"/>
              <w:right w:val="nil"/>
            </w:tcBorders>
            <w:shd w:val="clear" w:color="auto" w:fill="auto"/>
            <w:noWrap/>
            <w:tcMar>
              <w:top w:w="15" w:type="dxa"/>
              <w:left w:w="15" w:type="dxa"/>
              <w:right w:w="15" w:type="dxa"/>
            </w:tcMar>
            <w:vAlign w:val="bottom"/>
          </w:tcPr>
          <w:p>
            <w:pPr>
              <w:rPr>
                <w:rFonts w:hint="default" w:cs="宋体"/>
                <w:color w:val="000000"/>
                <w:sz w:val="20"/>
                <w:szCs w:val="20"/>
              </w:rPr>
            </w:pPr>
            <w:r>
              <w:rPr>
                <w:rFonts w:cs="宋体"/>
                <w:sz w:val="20"/>
                <w:szCs w:val="20"/>
              </w:rPr>
              <w:t>公开单位</w:t>
            </w:r>
            <w:r>
              <w:rPr>
                <w:rFonts w:cs="宋体"/>
                <w:color w:val="000000"/>
                <w:sz w:val="20"/>
                <w:szCs w:val="20"/>
              </w:rPr>
              <w:t xml:space="preserve">： </w:t>
            </w:r>
            <w:r>
              <w:rPr>
                <w:color w:val="000000"/>
                <w:sz w:val="20"/>
                <w:u w:color="auto"/>
              </w:rPr>
              <w:t>重庆市大足区回龙镇退役军人服务站</w:t>
            </w:r>
          </w:p>
        </w:tc>
        <w:tc>
          <w:tcPr>
            <w:tcW w:w="555"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555"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555"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576"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597" w:type="pct"/>
            <w:tcBorders>
              <w:top w:val="nil"/>
              <w:left w:val="nil"/>
              <w:bottom w:val="nil"/>
              <w:right w:val="nil"/>
            </w:tcBorders>
            <w:shd w:val="clear" w:color="auto" w:fill="auto"/>
            <w:noWrap/>
            <w:tcMar>
              <w:top w:w="15" w:type="dxa"/>
              <w:left w:w="15" w:type="dxa"/>
              <w:right w:w="15" w:type="dxa"/>
            </w:tcMar>
            <w:vAlign w:val="bottom"/>
          </w:tcPr>
          <w:p>
            <w:pPr>
              <w:jc w:val="right"/>
              <w:textAlignment w:val="bottom"/>
              <w:rPr>
                <w:rFonts w:hint="default" w:cs="宋体"/>
                <w:color w:val="000000"/>
                <w:sz w:val="20"/>
                <w:szCs w:val="20"/>
              </w:rPr>
            </w:pPr>
            <w:r>
              <w:rPr>
                <w:rFonts w:cs="宋体"/>
                <w:color w:val="000000"/>
                <w:sz w:val="20"/>
                <w:szCs w:val="20"/>
              </w:rPr>
              <w:t>公开07表</w:t>
            </w:r>
          </w:p>
        </w:tc>
      </w:tr>
      <w:tr>
        <w:tblPrEx>
          <w:tblCellMar>
            <w:top w:w="0" w:type="dxa"/>
            <w:left w:w="0" w:type="dxa"/>
            <w:bottom w:w="0" w:type="dxa"/>
            <w:right w:w="0" w:type="dxa"/>
          </w:tblCellMar>
        </w:tblPrEx>
        <w:trPr>
          <w:trHeight w:val="329" w:hRule="atLeast"/>
        </w:trPr>
        <w:tc>
          <w:tcPr>
            <w:tcW w:w="2162" w:type="pct"/>
            <w:gridSpan w:val="3"/>
            <w:vMerge w:val="continue"/>
            <w:tcBorders>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555"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555"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555"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576"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597" w:type="pct"/>
            <w:tcBorders>
              <w:top w:val="nil"/>
              <w:left w:val="nil"/>
              <w:bottom w:val="nil"/>
              <w:right w:val="nil"/>
            </w:tcBorders>
            <w:shd w:val="clear" w:color="auto" w:fill="auto"/>
            <w:noWrap/>
            <w:tcMar>
              <w:top w:w="15" w:type="dxa"/>
              <w:left w:w="15" w:type="dxa"/>
              <w:right w:w="15" w:type="dxa"/>
            </w:tcMar>
            <w:vAlign w:val="bottom"/>
          </w:tcPr>
          <w:p>
            <w:pPr>
              <w:jc w:val="right"/>
              <w:textAlignment w:val="bottom"/>
              <w:rPr>
                <w:rFonts w:hint="default" w:cs="宋体"/>
                <w:color w:val="000000"/>
                <w:sz w:val="20"/>
                <w:szCs w:val="20"/>
              </w:rPr>
            </w:pPr>
            <w:r>
              <w:rPr>
                <w:rFonts w:cs="宋体"/>
                <w:color w:val="000000"/>
                <w:sz w:val="20"/>
                <w:szCs w:val="20"/>
              </w:rPr>
              <w:t>单位：</w:t>
            </w:r>
            <w:r>
              <w:rPr>
                <w:rFonts w:cs="宋体"/>
                <w:sz w:val="20"/>
                <w:szCs w:val="20"/>
              </w:rPr>
              <w:t>万元</w:t>
            </w:r>
          </w:p>
        </w:tc>
      </w:tr>
      <w:tr>
        <w:tblPrEx>
          <w:tblCellMar>
            <w:top w:w="0" w:type="dxa"/>
            <w:left w:w="0" w:type="dxa"/>
            <w:bottom w:w="0" w:type="dxa"/>
            <w:right w:w="0" w:type="dxa"/>
          </w:tblCellMar>
        </w:tblPrEx>
        <w:trPr>
          <w:trHeight w:val="339" w:hRule="atLeast"/>
        </w:trPr>
        <w:tc>
          <w:tcPr>
            <w:tcW w:w="1607" w:type="pct"/>
            <w:gridSpan w:val="2"/>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项目</w:t>
            </w:r>
          </w:p>
        </w:tc>
        <w:tc>
          <w:tcPr>
            <w:tcW w:w="555" w:type="pct"/>
            <w:vMerge w:val="restart"/>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年初结转和结余</w:t>
            </w:r>
          </w:p>
        </w:tc>
        <w:tc>
          <w:tcPr>
            <w:tcW w:w="555"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本年收入</w:t>
            </w:r>
          </w:p>
        </w:tc>
        <w:tc>
          <w:tcPr>
            <w:tcW w:w="1686" w:type="pct"/>
            <w:gridSpan w:val="3"/>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本年支出</w:t>
            </w:r>
          </w:p>
        </w:tc>
        <w:tc>
          <w:tcPr>
            <w:tcW w:w="597"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年末结转和结余</w:t>
            </w:r>
          </w:p>
        </w:tc>
      </w:tr>
      <w:tr>
        <w:tblPrEx>
          <w:tblCellMar>
            <w:top w:w="0" w:type="dxa"/>
            <w:left w:w="0" w:type="dxa"/>
            <w:bottom w:w="0" w:type="dxa"/>
            <w:right w:w="0" w:type="dxa"/>
          </w:tblCellMar>
        </w:tblPrEx>
        <w:trPr>
          <w:trHeight w:val="335" w:hRule="atLeast"/>
        </w:trPr>
        <w:tc>
          <w:tcPr>
            <w:tcW w:w="603"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功能分类科目编码</w:t>
            </w:r>
          </w:p>
        </w:tc>
        <w:tc>
          <w:tcPr>
            <w:tcW w:w="1004"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项目（按“项”级功能分类科目）</w:t>
            </w:r>
          </w:p>
        </w:tc>
        <w:tc>
          <w:tcPr>
            <w:tcW w:w="555" w:type="pct"/>
            <w:vMerge w:val="continue"/>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55"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55"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合计</w:t>
            </w:r>
          </w:p>
        </w:tc>
        <w:tc>
          <w:tcPr>
            <w:tcW w:w="555"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基本支出</w:t>
            </w:r>
          </w:p>
        </w:tc>
        <w:tc>
          <w:tcPr>
            <w:tcW w:w="576"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项目支出</w:t>
            </w:r>
          </w:p>
        </w:tc>
        <w:tc>
          <w:tcPr>
            <w:tcW w:w="597"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r>
      <w:tr>
        <w:tblPrEx>
          <w:tblCellMar>
            <w:top w:w="0" w:type="dxa"/>
            <w:left w:w="0" w:type="dxa"/>
            <w:bottom w:w="0" w:type="dxa"/>
            <w:right w:w="0" w:type="dxa"/>
          </w:tblCellMar>
        </w:tblPrEx>
        <w:trPr>
          <w:trHeight w:val="335" w:hRule="atLeast"/>
        </w:trPr>
        <w:tc>
          <w:tcPr>
            <w:tcW w:w="60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004"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55" w:type="pct"/>
            <w:vMerge w:val="continue"/>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55"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55"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55"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76"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97"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r>
      <w:tr>
        <w:tblPrEx>
          <w:tblCellMar>
            <w:top w:w="0" w:type="dxa"/>
            <w:left w:w="0" w:type="dxa"/>
            <w:bottom w:w="0" w:type="dxa"/>
            <w:right w:w="0" w:type="dxa"/>
          </w:tblCellMar>
        </w:tblPrEx>
        <w:trPr>
          <w:trHeight w:val="645" w:hRule="atLeast"/>
        </w:trPr>
        <w:tc>
          <w:tcPr>
            <w:tcW w:w="60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004"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55" w:type="pct"/>
            <w:vMerge w:val="continue"/>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55"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55"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55"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76"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97"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r>
      <w:tr>
        <w:tblPrEx>
          <w:tblCellMar>
            <w:top w:w="0" w:type="dxa"/>
            <w:left w:w="0" w:type="dxa"/>
            <w:bottom w:w="0" w:type="dxa"/>
            <w:right w:w="0" w:type="dxa"/>
          </w:tblCellMar>
        </w:tblPrEx>
        <w:trPr>
          <w:trHeight w:val="339" w:hRule="atLeast"/>
        </w:trPr>
        <w:tc>
          <w:tcPr>
            <w:tcW w:w="1607" w:type="pct"/>
            <w:gridSpan w:val="2"/>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合计</w:t>
            </w:r>
          </w:p>
        </w:tc>
        <w:tc>
          <w:tcPr>
            <w:tcW w:w="55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c>
          <w:tcPr>
            <w:tcW w:w="55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c>
          <w:tcPr>
            <w:tcW w:w="55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c>
          <w:tcPr>
            <w:tcW w:w="55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c>
          <w:tcPr>
            <w:tcW w:w="57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c>
          <w:tcPr>
            <w:tcW w:w="59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r>
    </w:tbl>
    <w:p>
      <w:pPr>
        <w:rPr>
          <w:rFonts w:hint="default" w:cs="宋体"/>
          <w:sz w:val="21"/>
          <w:szCs w:val="21"/>
        </w:rPr>
      </w:pPr>
      <w:r>
        <w:rPr>
          <w:rFonts w:cs="宋体"/>
          <w:sz w:val="20"/>
          <w:szCs w:val="20"/>
        </w:rPr>
        <w:t>备注：本表反映单位本年度政府性基金预算财政拨款收入支出及结转和结余情况。本单位无政府性基金收支，故本表无数据。</w:t>
      </w:r>
      <w:r>
        <w:rPr>
          <w:rFonts w:cs="宋体"/>
          <w:sz w:val="20"/>
          <w:szCs w:val="20"/>
        </w:rPr>
        <w:br w:type="textWrapping"/>
      </w:r>
      <w:r>
        <w:rPr>
          <w:rFonts w:cs="宋体"/>
          <w:sz w:val="20"/>
          <w:szCs w:val="20"/>
        </w:rPr>
        <w:br w:type="textWrapping"/>
      </w:r>
    </w:p>
    <w:p>
      <w:pPr>
        <w:rPr>
          <w:rFonts w:hint="default" w:cs="宋体"/>
          <w:sz w:val="21"/>
          <w:szCs w:val="21"/>
        </w:rPr>
      </w:pPr>
      <w:r>
        <w:rPr>
          <w:rFonts w:cs="宋体"/>
          <w:sz w:val="21"/>
          <w:szCs w:val="21"/>
        </w:rPr>
        <w:br w:type="page"/>
      </w:r>
    </w:p>
    <w:tbl>
      <w:tblPr>
        <w:tblStyle w:val="7"/>
        <w:tblW w:w="5000" w:type="pct"/>
        <w:tblInd w:w="0" w:type="dxa"/>
        <w:tblLayout w:type="autofit"/>
        <w:tblCellMar>
          <w:top w:w="0" w:type="dxa"/>
          <w:left w:w="0" w:type="dxa"/>
          <w:bottom w:w="0" w:type="dxa"/>
          <w:right w:w="0" w:type="dxa"/>
        </w:tblCellMar>
      </w:tblPr>
      <w:tblGrid>
        <w:gridCol w:w="1882"/>
        <w:gridCol w:w="3060"/>
        <w:gridCol w:w="3276"/>
        <w:gridCol w:w="200"/>
        <w:gridCol w:w="3475"/>
        <w:gridCol w:w="77"/>
        <w:gridCol w:w="3408"/>
      </w:tblGrid>
      <w:tr>
        <w:tblPrEx>
          <w:tblCellMar>
            <w:top w:w="0" w:type="dxa"/>
            <w:left w:w="0" w:type="dxa"/>
            <w:bottom w:w="0" w:type="dxa"/>
            <w:right w:w="0" w:type="dxa"/>
          </w:tblCellMar>
        </w:tblPrEx>
        <w:trPr>
          <w:trHeight w:val="650" w:hRule="atLeast"/>
        </w:trPr>
        <w:tc>
          <w:tcPr>
            <w:tcW w:w="5000" w:type="pct"/>
            <w:gridSpan w:val="7"/>
            <w:tcBorders>
              <w:top w:val="nil"/>
              <w:left w:val="nil"/>
              <w:bottom w:val="nil"/>
              <w:right w:val="nil"/>
            </w:tcBorders>
            <w:shd w:val="clear" w:color="auto" w:fill="auto"/>
            <w:noWrap/>
            <w:tcMar>
              <w:top w:w="15" w:type="dxa"/>
              <w:left w:w="15" w:type="dxa"/>
              <w:right w:w="15" w:type="dxa"/>
            </w:tcMar>
            <w:vAlign w:val="bottom"/>
          </w:tcPr>
          <w:p>
            <w:pPr>
              <w:jc w:val="center"/>
              <w:textAlignment w:val="bottom"/>
              <w:rPr>
                <w:rFonts w:hint="default" w:cs="宋体"/>
                <w:b/>
                <w:color w:val="000000"/>
                <w:sz w:val="32"/>
                <w:szCs w:val="32"/>
              </w:rPr>
            </w:pPr>
            <w:r>
              <w:rPr>
                <w:rFonts w:cs="宋体"/>
                <w:b/>
                <w:color w:val="000000"/>
                <w:sz w:val="32"/>
                <w:szCs w:val="32"/>
              </w:rPr>
              <w:t>国有资本经营预算财政拨款支出决算表</w:t>
            </w:r>
          </w:p>
        </w:tc>
      </w:tr>
      <w:tr>
        <w:tblPrEx>
          <w:tblCellMar>
            <w:top w:w="0" w:type="dxa"/>
            <w:left w:w="0" w:type="dxa"/>
            <w:bottom w:w="0" w:type="dxa"/>
            <w:right w:w="0" w:type="dxa"/>
          </w:tblCellMar>
        </w:tblPrEx>
        <w:trPr>
          <w:trHeight w:val="332" w:hRule="atLeast"/>
        </w:trPr>
        <w:tc>
          <w:tcPr>
            <w:tcW w:w="2672" w:type="pct"/>
            <w:gridSpan w:val="3"/>
            <w:vMerge w:val="restart"/>
            <w:tcBorders>
              <w:top w:val="nil"/>
              <w:left w:val="nil"/>
              <w:right w:val="nil"/>
            </w:tcBorders>
            <w:shd w:val="clear" w:color="auto" w:fill="auto"/>
            <w:noWrap/>
            <w:tcMar>
              <w:top w:w="15" w:type="dxa"/>
              <w:left w:w="15" w:type="dxa"/>
              <w:right w:w="15" w:type="dxa"/>
            </w:tcMar>
            <w:vAlign w:val="bottom"/>
          </w:tcPr>
          <w:p>
            <w:pPr>
              <w:rPr>
                <w:rFonts w:hint="default" w:cs="宋体"/>
                <w:color w:val="000000"/>
                <w:sz w:val="20"/>
                <w:szCs w:val="20"/>
              </w:rPr>
            </w:pPr>
            <w:r>
              <w:rPr>
                <w:rFonts w:cs="宋体"/>
                <w:sz w:val="20"/>
                <w:szCs w:val="20"/>
              </w:rPr>
              <w:t>公开单位</w:t>
            </w:r>
            <w:r>
              <w:rPr>
                <w:rFonts w:cs="宋体"/>
                <w:color w:val="000000"/>
                <w:sz w:val="20"/>
                <w:szCs w:val="20"/>
              </w:rPr>
              <w:t xml:space="preserve">： </w:t>
            </w:r>
            <w:r>
              <w:rPr>
                <w:color w:val="000000"/>
                <w:sz w:val="20"/>
                <w:u w:color="auto"/>
              </w:rPr>
              <w:t>重庆市大足区回龙镇退役军人服务站</w:t>
            </w:r>
          </w:p>
        </w:tc>
        <w:tc>
          <w:tcPr>
            <w:tcW w:w="1220" w:type="pct"/>
            <w:gridSpan w:val="3"/>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1108" w:type="pct"/>
            <w:tcBorders>
              <w:top w:val="nil"/>
              <w:left w:val="nil"/>
              <w:bottom w:val="nil"/>
              <w:right w:val="nil"/>
            </w:tcBorders>
            <w:shd w:val="clear" w:color="auto" w:fill="auto"/>
            <w:noWrap/>
            <w:tcMar>
              <w:top w:w="15" w:type="dxa"/>
              <w:left w:w="15" w:type="dxa"/>
              <w:right w:w="15" w:type="dxa"/>
            </w:tcMar>
            <w:vAlign w:val="bottom"/>
          </w:tcPr>
          <w:p>
            <w:pPr>
              <w:jc w:val="right"/>
              <w:textAlignment w:val="bottom"/>
              <w:rPr>
                <w:rFonts w:hint="default" w:cs="宋体"/>
                <w:color w:val="000000"/>
                <w:sz w:val="20"/>
                <w:szCs w:val="20"/>
              </w:rPr>
            </w:pPr>
            <w:r>
              <w:rPr>
                <w:rFonts w:cs="宋体"/>
                <w:color w:val="000000"/>
                <w:sz w:val="20"/>
                <w:szCs w:val="20"/>
              </w:rPr>
              <w:t>公开08表</w:t>
            </w:r>
          </w:p>
        </w:tc>
      </w:tr>
      <w:tr>
        <w:tblPrEx>
          <w:tblCellMar>
            <w:top w:w="0" w:type="dxa"/>
            <w:left w:w="0" w:type="dxa"/>
            <w:bottom w:w="0" w:type="dxa"/>
            <w:right w:w="0" w:type="dxa"/>
          </w:tblCellMar>
        </w:tblPrEx>
        <w:trPr>
          <w:trHeight w:val="332" w:hRule="atLeast"/>
        </w:trPr>
        <w:tc>
          <w:tcPr>
            <w:tcW w:w="2672" w:type="pct"/>
            <w:gridSpan w:val="3"/>
            <w:vMerge w:val="continue"/>
            <w:tcBorders>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1220" w:type="pct"/>
            <w:gridSpan w:val="3"/>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1108" w:type="pct"/>
            <w:tcBorders>
              <w:top w:val="nil"/>
              <w:left w:val="nil"/>
              <w:bottom w:val="nil"/>
              <w:right w:val="nil"/>
            </w:tcBorders>
            <w:shd w:val="clear" w:color="auto" w:fill="auto"/>
            <w:noWrap/>
            <w:tcMar>
              <w:top w:w="15" w:type="dxa"/>
              <w:left w:w="15" w:type="dxa"/>
              <w:right w:w="15" w:type="dxa"/>
            </w:tcMar>
            <w:vAlign w:val="bottom"/>
          </w:tcPr>
          <w:p>
            <w:pPr>
              <w:jc w:val="right"/>
              <w:textAlignment w:val="bottom"/>
              <w:rPr>
                <w:rFonts w:hint="default" w:cs="宋体"/>
                <w:color w:val="000000"/>
                <w:sz w:val="20"/>
                <w:szCs w:val="20"/>
              </w:rPr>
            </w:pPr>
            <w:r>
              <w:rPr>
                <w:rFonts w:cs="宋体"/>
                <w:color w:val="000000"/>
                <w:sz w:val="20"/>
                <w:szCs w:val="20"/>
              </w:rPr>
              <w:t>单位：</w:t>
            </w:r>
            <w:r>
              <w:rPr>
                <w:rFonts w:cs="宋体"/>
                <w:sz w:val="20"/>
                <w:szCs w:val="20"/>
              </w:rPr>
              <w:t>万元</w:t>
            </w:r>
          </w:p>
        </w:tc>
      </w:tr>
      <w:tr>
        <w:tblPrEx>
          <w:tblCellMar>
            <w:top w:w="0" w:type="dxa"/>
            <w:left w:w="0" w:type="dxa"/>
            <w:bottom w:w="0" w:type="dxa"/>
            <w:right w:w="0" w:type="dxa"/>
          </w:tblCellMar>
        </w:tblPrEx>
        <w:trPr>
          <w:trHeight w:val="422" w:hRule="atLeast"/>
        </w:trPr>
        <w:tc>
          <w:tcPr>
            <w:tcW w:w="1607" w:type="pct"/>
            <w:gridSpan w:val="2"/>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pPr>
              <w:jc w:val="center"/>
              <w:textAlignment w:val="bottom"/>
              <w:rPr>
                <w:rFonts w:hint="default" w:cs="宋体"/>
                <w:b/>
                <w:color w:val="000000"/>
                <w:sz w:val="20"/>
                <w:szCs w:val="20"/>
              </w:rPr>
            </w:pPr>
            <w:r>
              <w:rPr>
                <w:rFonts w:cs="宋体"/>
                <w:b/>
                <w:color w:val="000000"/>
                <w:sz w:val="20"/>
                <w:szCs w:val="20"/>
              </w:rPr>
              <w:t>项目</w:t>
            </w:r>
          </w:p>
        </w:tc>
        <w:tc>
          <w:tcPr>
            <w:tcW w:w="3393" w:type="pct"/>
            <w:gridSpan w:val="5"/>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pPr>
              <w:jc w:val="center"/>
              <w:textAlignment w:val="bottom"/>
              <w:rPr>
                <w:rFonts w:hint="default" w:cs="宋体"/>
                <w:b/>
                <w:color w:val="000000"/>
                <w:sz w:val="20"/>
                <w:szCs w:val="20"/>
              </w:rPr>
            </w:pPr>
            <w:r>
              <w:rPr>
                <w:rFonts w:cs="宋体"/>
                <w:b/>
                <w:color w:val="000000"/>
                <w:sz w:val="20"/>
                <w:szCs w:val="20"/>
              </w:rPr>
              <w:t>本年支出</w:t>
            </w:r>
          </w:p>
        </w:tc>
      </w:tr>
      <w:tr>
        <w:tblPrEx>
          <w:tblCellMar>
            <w:top w:w="0" w:type="dxa"/>
            <w:left w:w="0" w:type="dxa"/>
            <w:bottom w:w="0" w:type="dxa"/>
            <w:right w:w="0" w:type="dxa"/>
          </w:tblCellMar>
        </w:tblPrEx>
        <w:trPr>
          <w:trHeight w:val="339" w:hRule="atLeast"/>
        </w:trPr>
        <w:tc>
          <w:tcPr>
            <w:tcW w:w="612" w:type="pct"/>
            <w:vMerge w:val="restart"/>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功能分类科目编码</w:t>
            </w:r>
          </w:p>
        </w:tc>
        <w:tc>
          <w:tcPr>
            <w:tcW w:w="995"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科目名称</w:t>
            </w:r>
          </w:p>
        </w:tc>
        <w:tc>
          <w:tcPr>
            <w:tcW w:w="1130" w:type="pct"/>
            <w:gridSpan w:val="2"/>
            <w:vMerge w:val="restart"/>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合计</w:t>
            </w:r>
          </w:p>
        </w:tc>
        <w:tc>
          <w:tcPr>
            <w:tcW w:w="1130"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基本支出</w:t>
            </w:r>
          </w:p>
        </w:tc>
        <w:tc>
          <w:tcPr>
            <w:tcW w:w="1133" w:type="pct"/>
            <w:gridSpan w:val="2"/>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项目支出</w:t>
            </w:r>
          </w:p>
        </w:tc>
      </w:tr>
      <w:tr>
        <w:tblPrEx>
          <w:tblCellMar>
            <w:top w:w="0" w:type="dxa"/>
            <w:left w:w="0" w:type="dxa"/>
            <w:bottom w:w="0" w:type="dxa"/>
            <w:right w:w="0" w:type="dxa"/>
          </w:tblCellMar>
        </w:tblPrEx>
        <w:trPr>
          <w:trHeight w:val="339" w:hRule="atLeast"/>
        </w:trPr>
        <w:tc>
          <w:tcPr>
            <w:tcW w:w="612" w:type="pct"/>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995"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130" w:type="pct"/>
            <w:gridSpan w:val="2"/>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130"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133" w:type="pct"/>
            <w:gridSpan w:val="2"/>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r>
      <w:tr>
        <w:tblPrEx>
          <w:tblCellMar>
            <w:top w:w="0" w:type="dxa"/>
            <w:left w:w="0" w:type="dxa"/>
            <w:bottom w:w="0" w:type="dxa"/>
            <w:right w:w="0" w:type="dxa"/>
          </w:tblCellMar>
        </w:tblPrEx>
        <w:trPr>
          <w:trHeight w:val="339" w:hRule="atLeast"/>
        </w:trPr>
        <w:tc>
          <w:tcPr>
            <w:tcW w:w="612" w:type="pct"/>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995"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130" w:type="pct"/>
            <w:gridSpan w:val="2"/>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130"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133" w:type="pct"/>
            <w:gridSpan w:val="2"/>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r>
      <w:tr>
        <w:tblPrEx>
          <w:tblCellMar>
            <w:top w:w="0" w:type="dxa"/>
            <w:left w:w="0" w:type="dxa"/>
            <w:bottom w:w="0" w:type="dxa"/>
            <w:right w:w="0" w:type="dxa"/>
          </w:tblCellMar>
        </w:tblPrEx>
        <w:trPr>
          <w:trHeight w:val="326" w:hRule="atLeast"/>
        </w:trPr>
        <w:tc>
          <w:tcPr>
            <w:tcW w:w="612" w:type="pct"/>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995"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130" w:type="pct"/>
            <w:gridSpan w:val="2"/>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130"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133" w:type="pct"/>
            <w:gridSpan w:val="2"/>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r>
      <w:tr>
        <w:tblPrEx>
          <w:tblCellMar>
            <w:top w:w="0" w:type="dxa"/>
            <w:left w:w="0" w:type="dxa"/>
            <w:bottom w:w="0" w:type="dxa"/>
            <w:right w:w="0" w:type="dxa"/>
          </w:tblCellMar>
        </w:tblPrEx>
        <w:trPr>
          <w:trHeight w:val="611" w:hRule="atLeast"/>
        </w:trPr>
        <w:tc>
          <w:tcPr>
            <w:tcW w:w="1607" w:type="pct"/>
            <w:gridSpan w:val="2"/>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合计</w:t>
            </w:r>
          </w:p>
        </w:tc>
        <w:tc>
          <w:tcPr>
            <w:tcW w:w="1130" w:type="pct"/>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c>
          <w:tcPr>
            <w:tcW w:w="1130"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default" w:cs="宋体"/>
                <w:b/>
                <w:color w:val="000000"/>
                <w:sz w:val="20"/>
                <w:szCs w:val="20"/>
              </w:rPr>
            </w:pPr>
          </w:p>
        </w:tc>
        <w:tc>
          <w:tcPr>
            <w:tcW w:w="1133" w:type="pct"/>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r>
    </w:tbl>
    <w:p>
      <w:pPr>
        <w:rPr>
          <w:rFonts w:hint="default" w:cs="宋体"/>
          <w:sz w:val="21"/>
          <w:szCs w:val="21"/>
        </w:rPr>
      </w:pPr>
      <w:r>
        <w:rPr>
          <w:rFonts w:cs="宋体"/>
          <w:sz w:val="20"/>
          <w:szCs w:val="20"/>
        </w:rPr>
        <w:t>备注：本表反映单位本年度国有资本经营预算财政拨款支出情况。本单位无国有资本经营收支，故本表无数据。</w:t>
      </w:r>
      <w:r>
        <w:rPr>
          <w:rFonts w:cs="宋体"/>
          <w:sz w:val="20"/>
          <w:szCs w:val="20"/>
        </w:rPr>
        <w:br w:type="textWrapping"/>
      </w:r>
      <w:r>
        <w:rPr>
          <w:rFonts w:cs="宋体"/>
          <w:sz w:val="20"/>
          <w:szCs w:val="20"/>
        </w:rPr>
        <w:br w:type="textWrapping"/>
      </w:r>
      <w:r>
        <w:rPr>
          <w:rFonts w:hint="default" w:cs="宋体"/>
          <w:sz w:val="21"/>
          <w:szCs w:val="21"/>
        </w:rPr>
        <w:br w:type="page"/>
      </w:r>
    </w:p>
    <w:tbl>
      <w:tblPr>
        <w:tblStyle w:val="7"/>
        <w:tblW w:w="4877" w:type="pct"/>
        <w:tblInd w:w="0" w:type="dxa"/>
        <w:tblLayout w:type="fixed"/>
        <w:tblCellMar>
          <w:top w:w="0" w:type="dxa"/>
          <w:left w:w="170" w:type="dxa"/>
          <w:bottom w:w="0" w:type="dxa"/>
          <w:right w:w="170" w:type="dxa"/>
        </w:tblCellMar>
      </w:tblPr>
      <w:tblGrid>
        <w:gridCol w:w="4041"/>
        <w:gridCol w:w="2166"/>
        <w:gridCol w:w="2115"/>
        <w:gridCol w:w="4524"/>
        <w:gridCol w:w="2154"/>
      </w:tblGrid>
      <w:tr>
        <w:tblPrEx>
          <w:tblCellMar>
            <w:top w:w="0" w:type="dxa"/>
            <w:left w:w="170" w:type="dxa"/>
            <w:bottom w:w="0" w:type="dxa"/>
            <w:right w:w="170" w:type="dxa"/>
          </w:tblCellMar>
        </w:tblPrEx>
        <w:trPr>
          <w:trHeight w:val="343" w:hRule="atLeast"/>
        </w:trPr>
        <w:tc>
          <w:tcPr>
            <w:tcW w:w="5000" w:type="pct"/>
            <w:gridSpan w:val="5"/>
            <w:tcBorders>
              <w:top w:val="nil"/>
              <w:left w:val="nil"/>
              <w:bottom w:val="nil"/>
              <w:right w:val="nil"/>
            </w:tcBorders>
            <w:shd w:val="clear" w:color="auto" w:fill="auto"/>
            <w:noWrap/>
            <w:tcMar>
              <w:top w:w="15" w:type="dxa"/>
              <w:left w:w="15" w:type="dxa"/>
              <w:right w:w="15" w:type="dxa"/>
            </w:tcMar>
            <w:vAlign w:val="bottom"/>
          </w:tcPr>
          <w:p>
            <w:pPr>
              <w:spacing w:line="400" w:lineRule="exact"/>
              <w:jc w:val="center"/>
              <w:textAlignment w:val="bottom"/>
              <w:rPr>
                <w:rFonts w:hint="default" w:cs="宋体"/>
                <w:b/>
                <w:color w:val="000000"/>
                <w:sz w:val="32"/>
                <w:szCs w:val="32"/>
              </w:rPr>
            </w:pPr>
            <w:r>
              <w:rPr>
                <w:rFonts w:cs="宋体"/>
                <w:b/>
                <w:color w:val="000000"/>
                <w:sz w:val="32"/>
                <w:szCs w:val="32"/>
              </w:rPr>
              <w:t>机构运行信息表</w:t>
            </w:r>
          </w:p>
        </w:tc>
      </w:tr>
      <w:tr>
        <w:tblPrEx>
          <w:tblCellMar>
            <w:top w:w="0" w:type="dxa"/>
            <w:left w:w="170" w:type="dxa"/>
            <w:bottom w:w="0" w:type="dxa"/>
            <w:right w:w="170" w:type="dxa"/>
          </w:tblCellMar>
        </w:tblPrEx>
        <w:trPr>
          <w:trHeight w:val="244" w:hRule="atLeast"/>
        </w:trPr>
        <w:tc>
          <w:tcPr>
            <w:tcW w:w="1347" w:type="pct"/>
            <w:tcBorders>
              <w:top w:val="nil"/>
              <w:left w:val="nil"/>
              <w:bottom w:val="nil"/>
              <w:right w:val="nil"/>
            </w:tcBorders>
            <w:shd w:val="clear" w:color="auto" w:fill="auto"/>
            <w:noWrap/>
            <w:tcMar>
              <w:top w:w="15" w:type="dxa"/>
              <w:left w:w="15" w:type="dxa"/>
              <w:right w:w="15" w:type="dxa"/>
            </w:tcMar>
            <w:vAlign w:val="bottom"/>
          </w:tcPr>
          <w:p>
            <w:pPr>
              <w:spacing w:line="280" w:lineRule="exact"/>
              <w:rPr>
                <w:rFonts w:hint="default" w:cs="宋体"/>
                <w:color w:val="000000"/>
                <w:sz w:val="20"/>
                <w:szCs w:val="20"/>
              </w:rPr>
            </w:pPr>
          </w:p>
        </w:tc>
        <w:tc>
          <w:tcPr>
            <w:tcW w:w="722" w:type="pct"/>
            <w:tcBorders>
              <w:top w:val="nil"/>
              <w:left w:val="nil"/>
              <w:bottom w:val="nil"/>
              <w:right w:val="nil"/>
            </w:tcBorders>
            <w:shd w:val="clear" w:color="auto" w:fill="auto"/>
            <w:noWrap/>
            <w:tcMar>
              <w:top w:w="15" w:type="dxa"/>
              <w:left w:w="15" w:type="dxa"/>
              <w:right w:w="15" w:type="dxa"/>
            </w:tcMar>
            <w:vAlign w:val="bottom"/>
          </w:tcPr>
          <w:p>
            <w:pPr>
              <w:spacing w:line="280" w:lineRule="exact"/>
              <w:jc w:val="center"/>
              <w:rPr>
                <w:rFonts w:hint="default" w:cs="宋体"/>
                <w:color w:val="000000"/>
                <w:sz w:val="20"/>
                <w:szCs w:val="20"/>
              </w:rPr>
            </w:pPr>
          </w:p>
        </w:tc>
        <w:tc>
          <w:tcPr>
            <w:tcW w:w="705" w:type="pct"/>
            <w:tcBorders>
              <w:top w:val="nil"/>
              <w:left w:val="nil"/>
              <w:bottom w:val="nil"/>
              <w:right w:val="nil"/>
            </w:tcBorders>
            <w:shd w:val="clear" w:color="auto" w:fill="auto"/>
            <w:noWrap/>
            <w:tcMar>
              <w:top w:w="15" w:type="dxa"/>
              <w:left w:w="15" w:type="dxa"/>
              <w:right w:w="15" w:type="dxa"/>
            </w:tcMar>
            <w:vAlign w:val="bottom"/>
          </w:tcPr>
          <w:p>
            <w:pPr>
              <w:spacing w:line="280" w:lineRule="exact"/>
              <w:jc w:val="right"/>
              <w:rPr>
                <w:rFonts w:hint="default" w:cs="宋体"/>
                <w:color w:val="000000"/>
                <w:sz w:val="20"/>
                <w:szCs w:val="20"/>
              </w:rPr>
            </w:pPr>
          </w:p>
        </w:tc>
        <w:tc>
          <w:tcPr>
            <w:tcW w:w="1508" w:type="pct"/>
            <w:tcBorders>
              <w:top w:val="nil"/>
              <w:left w:val="nil"/>
              <w:bottom w:val="nil"/>
              <w:right w:val="nil"/>
            </w:tcBorders>
            <w:shd w:val="clear" w:color="auto" w:fill="auto"/>
            <w:noWrap/>
            <w:tcMar>
              <w:top w:w="15" w:type="dxa"/>
              <w:left w:w="15" w:type="dxa"/>
              <w:right w:w="15" w:type="dxa"/>
            </w:tcMar>
            <w:vAlign w:val="bottom"/>
          </w:tcPr>
          <w:p>
            <w:pPr>
              <w:spacing w:line="280" w:lineRule="exact"/>
              <w:rPr>
                <w:rFonts w:hint="default" w:cs="宋体"/>
                <w:color w:val="000000"/>
                <w:sz w:val="20"/>
                <w:szCs w:val="20"/>
              </w:rPr>
            </w:pPr>
          </w:p>
        </w:tc>
        <w:tc>
          <w:tcPr>
            <w:tcW w:w="718" w:type="pct"/>
            <w:tcBorders>
              <w:top w:val="nil"/>
              <w:left w:val="nil"/>
              <w:bottom w:val="nil"/>
              <w:right w:val="nil"/>
            </w:tcBorders>
            <w:shd w:val="clear" w:color="auto" w:fill="auto"/>
            <w:noWrap/>
            <w:tcMar>
              <w:top w:w="15" w:type="dxa"/>
              <w:left w:w="15" w:type="dxa"/>
              <w:right w:w="15" w:type="dxa"/>
            </w:tcMar>
            <w:vAlign w:val="bottom"/>
          </w:tcPr>
          <w:p>
            <w:pPr>
              <w:spacing w:line="280" w:lineRule="exact"/>
              <w:jc w:val="right"/>
              <w:textAlignment w:val="bottom"/>
              <w:rPr>
                <w:rFonts w:hint="default" w:cs="宋体"/>
                <w:color w:val="000000"/>
                <w:sz w:val="20"/>
                <w:szCs w:val="20"/>
              </w:rPr>
            </w:pPr>
            <w:r>
              <w:rPr>
                <w:rFonts w:cs="宋体"/>
                <w:color w:val="000000"/>
                <w:sz w:val="20"/>
                <w:szCs w:val="20"/>
              </w:rPr>
              <w:t>公开09表</w:t>
            </w:r>
          </w:p>
        </w:tc>
      </w:tr>
      <w:tr>
        <w:tblPrEx>
          <w:tblCellMar>
            <w:top w:w="0" w:type="dxa"/>
            <w:left w:w="170" w:type="dxa"/>
            <w:bottom w:w="0" w:type="dxa"/>
            <w:right w:w="170" w:type="dxa"/>
          </w:tblCellMar>
        </w:tblPrEx>
        <w:trPr>
          <w:trHeight w:val="244" w:hRule="atLeast"/>
        </w:trPr>
        <w:tc>
          <w:tcPr>
            <w:tcW w:w="2069" w:type="pct"/>
            <w:gridSpan w:val="2"/>
            <w:tcBorders>
              <w:top w:val="nil"/>
              <w:left w:val="nil"/>
              <w:bottom w:val="single" w:color="auto" w:sz="4" w:space="0"/>
              <w:right w:val="nil"/>
            </w:tcBorders>
            <w:shd w:val="clear" w:color="auto" w:fill="auto"/>
            <w:noWrap/>
            <w:tcMar>
              <w:top w:w="15" w:type="dxa"/>
              <w:left w:w="15" w:type="dxa"/>
              <w:right w:w="15" w:type="dxa"/>
            </w:tcMar>
            <w:vAlign w:val="bottom"/>
          </w:tcPr>
          <w:p>
            <w:pPr>
              <w:spacing w:line="280" w:lineRule="exact"/>
              <w:rPr>
                <w:rFonts w:hint="default" w:cs="宋体"/>
                <w:color w:val="000000"/>
                <w:sz w:val="20"/>
                <w:szCs w:val="20"/>
              </w:rPr>
            </w:pPr>
            <w:r>
              <w:rPr>
                <w:rFonts w:cs="宋体"/>
                <w:sz w:val="20"/>
                <w:szCs w:val="20"/>
              </w:rPr>
              <w:t>公开单位</w:t>
            </w:r>
            <w:r>
              <w:rPr>
                <w:rFonts w:cs="宋体"/>
                <w:color w:val="000000"/>
                <w:sz w:val="20"/>
                <w:szCs w:val="20"/>
              </w:rPr>
              <w:t xml:space="preserve">： </w:t>
            </w:r>
            <w:r>
              <w:rPr>
                <w:color w:val="000000"/>
                <w:sz w:val="20"/>
                <w:u w:color="auto"/>
              </w:rPr>
              <w:t>重庆市大足区回龙镇退役军人服务站</w:t>
            </w:r>
          </w:p>
        </w:tc>
        <w:tc>
          <w:tcPr>
            <w:tcW w:w="705" w:type="pct"/>
            <w:tcBorders>
              <w:top w:val="nil"/>
              <w:left w:val="nil"/>
              <w:bottom w:val="single" w:color="auto" w:sz="4" w:space="0"/>
              <w:right w:val="nil"/>
            </w:tcBorders>
            <w:shd w:val="clear" w:color="auto" w:fill="auto"/>
            <w:noWrap/>
            <w:tcMar>
              <w:top w:w="15" w:type="dxa"/>
              <w:left w:w="15" w:type="dxa"/>
              <w:right w:w="15" w:type="dxa"/>
            </w:tcMar>
            <w:vAlign w:val="bottom"/>
          </w:tcPr>
          <w:p>
            <w:pPr>
              <w:spacing w:line="280" w:lineRule="exact"/>
              <w:jc w:val="right"/>
              <w:rPr>
                <w:rFonts w:hint="default" w:cs="宋体"/>
                <w:color w:val="000000"/>
                <w:sz w:val="20"/>
                <w:szCs w:val="20"/>
              </w:rPr>
            </w:pPr>
          </w:p>
        </w:tc>
        <w:tc>
          <w:tcPr>
            <w:tcW w:w="1508" w:type="pct"/>
            <w:tcBorders>
              <w:top w:val="nil"/>
              <w:left w:val="nil"/>
              <w:bottom w:val="single" w:color="auto" w:sz="4" w:space="0"/>
              <w:right w:val="nil"/>
            </w:tcBorders>
            <w:shd w:val="clear" w:color="auto" w:fill="auto"/>
            <w:noWrap/>
            <w:tcMar>
              <w:top w:w="15" w:type="dxa"/>
              <w:left w:w="15" w:type="dxa"/>
              <w:right w:w="15" w:type="dxa"/>
            </w:tcMar>
            <w:vAlign w:val="bottom"/>
          </w:tcPr>
          <w:p>
            <w:pPr>
              <w:spacing w:line="280" w:lineRule="exact"/>
              <w:rPr>
                <w:rFonts w:hint="default" w:cs="宋体"/>
                <w:color w:val="000000"/>
                <w:sz w:val="20"/>
                <w:szCs w:val="20"/>
              </w:rPr>
            </w:pPr>
          </w:p>
        </w:tc>
        <w:tc>
          <w:tcPr>
            <w:tcW w:w="718" w:type="pct"/>
            <w:tcBorders>
              <w:top w:val="nil"/>
              <w:left w:val="nil"/>
              <w:bottom w:val="single" w:color="auto" w:sz="4" w:space="0"/>
              <w:right w:val="nil"/>
            </w:tcBorders>
            <w:shd w:val="clear" w:color="auto" w:fill="auto"/>
            <w:noWrap/>
            <w:tcMar>
              <w:top w:w="15" w:type="dxa"/>
              <w:left w:w="15" w:type="dxa"/>
              <w:right w:w="15" w:type="dxa"/>
            </w:tcMar>
            <w:vAlign w:val="bottom"/>
          </w:tcPr>
          <w:p>
            <w:pPr>
              <w:spacing w:line="280" w:lineRule="exact"/>
              <w:jc w:val="right"/>
              <w:textAlignment w:val="bottom"/>
              <w:rPr>
                <w:rFonts w:hint="default" w:cs="宋体"/>
                <w:color w:val="000000"/>
                <w:sz w:val="20"/>
                <w:szCs w:val="20"/>
              </w:rPr>
            </w:pPr>
            <w:r>
              <w:rPr>
                <w:rFonts w:cs="宋体"/>
                <w:color w:val="000000"/>
                <w:sz w:val="20"/>
                <w:szCs w:val="20"/>
              </w:rPr>
              <w:t>单位：</w:t>
            </w:r>
            <w:r>
              <w:rPr>
                <w:rFonts w:cs="宋体"/>
                <w:sz w:val="20"/>
                <w:szCs w:val="20"/>
              </w:rPr>
              <w:t>万元</w:t>
            </w:r>
          </w:p>
        </w:tc>
      </w:tr>
      <w:tr>
        <w:tblPrEx>
          <w:tblCellMar>
            <w:top w:w="0" w:type="dxa"/>
            <w:left w:w="170" w:type="dxa"/>
            <w:bottom w:w="0" w:type="dxa"/>
            <w:right w:w="170" w:type="dxa"/>
          </w:tblCellMar>
        </w:tblPrEx>
        <w:trPr>
          <w:trHeight w:val="282" w:hRule="atLeast"/>
        </w:trPr>
        <w:tc>
          <w:tcPr>
            <w:tcW w:w="1347"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000000"/>
                <w:sz w:val="16"/>
                <w:szCs w:val="16"/>
              </w:rPr>
            </w:pPr>
            <w:r>
              <w:rPr>
                <w:rFonts w:cs="宋体"/>
                <w:b/>
                <w:color w:val="000000"/>
                <w:sz w:val="16"/>
                <w:szCs w:val="16"/>
              </w:rPr>
              <w:t>项  目</w:t>
            </w:r>
          </w:p>
        </w:tc>
        <w:tc>
          <w:tcPr>
            <w:tcW w:w="722"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000000"/>
                <w:sz w:val="16"/>
                <w:szCs w:val="16"/>
              </w:rPr>
            </w:pPr>
            <w:r>
              <w:rPr>
                <w:rFonts w:cs="宋体"/>
                <w:b/>
                <w:color w:val="000000"/>
                <w:sz w:val="16"/>
                <w:szCs w:val="16"/>
              </w:rPr>
              <w:t>预算数</w:t>
            </w:r>
          </w:p>
        </w:tc>
        <w:tc>
          <w:tcPr>
            <w:tcW w:w="705"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000000"/>
                <w:sz w:val="16"/>
                <w:szCs w:val="16"/>
              </w:rPr>
            </w:pPr>
            <w:r>
              <w:rPr>
                <w:rFonts w:cs="宋体"/>
                <w:b/>
                <w:color w:val="000000"/>
                <w:sz w:val="16"/>
                <w:szCs w:val="16"/>
              </w:rPr>
              <w:t>决算数</w:t>
            </w:r>
          </w:p>
        </w:tc>
        <w:tc>
          <w:tcPr>
            <w:tcW w:w="150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000000"/>
                <w:sz w:val="16"/>
                <w:szCs w:val="16"/>
              </w:rPr>
            </w:pPr>
            <w:r>
              <w:rPr>
                <w:rFonts w:cs="宋体"/>
                <w:b/>
                <w:color w:val="000000"/>
                <w:sz w:val="16"/>
                <w:szCs w:val="16"/>
              </w:rPr>
              <w:t>项  目</w:t>
            </w:r>
          </w:p>
        </w:tc>
        <w:tc>
          <w:tcPr>
            <w:tcW w:w="71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000000"/>
                <w:sz w:val="16"/>
                <w:szCs w:val="16"/>
              </w:rPr>
            </w:pPr>
            <w:r>
              <w:rPr>
                <w:rFonts w:cs="宋体"/>
                <w:b/>
                <w:color w:val="000000"/>
                <w:sz w:val="16"/>
                <w:szCs w:val="16"/>
              </w:rPr>
              <w:t>决算数</w:t>
            </w:r>
          </w:p>
        </w:tc>
      </w:tr>
      <w:tr>
        <w:tblPrEx>
          <w:tblCellMar>
            <w:top w:w="0" w:type="dxa"/>
            <w:left w:w="170" w:type="dxa"/>
            <w:bottom w:w="0" w:type="dxa"/>
            <w:right w:w="170" w:type="dxa"/>
          </w:tblCellMar>
        </w:tblPrEx>
        <w:trPr>
          <w:trHeight w:val="282" w:hRule="atLeast"/>
        </w:trPr>
        <w:tc>
          <w:tcPr>
            <w:tcW w:w="1347"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一、“三公”经费支出</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150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四、机关运行经费</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（一）支出合计</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（一）行政单位</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1．因公出国（境）费</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（二）参照公务员法管理事业单位</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2．公务用车购置及运行维护费</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五、资产信息</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r>
      <w:tr>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（1）公务用车购置费</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（一）车辆数合计（辆）</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rFonts w:cs="宋体"/>
                <w:color w:val="000000"/>
                <w:sz w:val="16"/>
                <w:szCs w:val="16"/>
              </w:rPr>
              <w:t xml:space="preserve">   </w:t>
            </w:r>
          </w:p>
        </w:tc>
      </w:tr>
      <w:tr>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（2）公务用车运行维护费</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1．副部（省）级及以上领导用车</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3．公务接待费</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2．主要领导干部用车</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（1）国内接待费</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3．机要通信用车</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其中：外事接待费</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4．应急保障用车</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（2）国（境）外接待费</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5．执法执勤用车</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（二）相关统计数</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1508"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6．特种专业技术用车</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1．因公出国（境）团组数（个）</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FFFFFF"/>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7．离退休干部用车</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2．因公出国（境）人次数（人）</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FFFFFF"/>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8．其他用车</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3．公务用车购置数（辆）</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FFFFFF"/>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（二）单价100万元（含）以上设备（不含车辆）</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4．公务用车保有量（辆）</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FFFFFF"/>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六、政府采购支出信息</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r>
      <w:tr>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5．国内公务接待批次（个）</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FFFFFF"/>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（一）政府采购支出合计</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其中：外事接待批次（个）</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FFFFFF"/>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1．政府采购货物支出</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6．国内公务接待人次（人）</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FFFFFF"/>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2．政府采购工程支出</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其中：外事接待人次（人）</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FFFFFF"/>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3．政府采购服务支出</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7．国（境）外公务接待批次（个）</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FFFFFF"/>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（二）政府采购授予中小企业合同金额</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8．国（境）外公务接待人次（人）</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FFFFFF"/>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其中：授予小微企业合同金额</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CellMar>
            <w:top w:w="0" w:type="dxa"/>
            <w:left w:w="170" w:type="dxa"/>
            <w:bottom w:w="0" w:type="dxa"/>
            <w:right w:w="170" w:type="dxa"/>
          </w:tblCellMar>
        </w:tblPrEx>
        <w:trPr>
          <w:trHeight w:val="286" w:hRule="atLeast"/>
        </w:trPr>
        <w:tc>
          <w:tcPr>
            <w:tcW w:w="1347"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二、会议费</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rPr>
                <w:rFonts w:hint="default" w:cs="宋体"/>
                <w:color w:val="000000"/>
                <w:sz w:val="16"/>
                <w:szCs w:val="16"/>
              </w:rPr>
            </w:pP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rPr>
                <w:rFonts w:hint="default" w:cs="宋体"/>
                <w:color w:val="000000"/>
                <w:sz w:val="16"/>
                <w:szCs w:val="16"/>
              </w:rPr>
            </w:pPr>
          </w:p>
        </w:tc>
      </w:tr>
      <w:tr>
        <w:tblPrEx>
          <w:tblCellMar>
            <w:top w:w="0" w:type="dxa"/>
            <w:left w:w="170" w:type="dxa"/>
            <w:bottom w:w="0" w:type="dxa"/>
            <w:right w:w="170" w:type="dxa"/>
          </w:tblCellMar>
        </w:tblPrEx>
        <w:trPr>
          <w:trHeight w:val="389" w:hRule="atLeast"/>
        </w:trPr>
        <w:tc>
          <w:tcPr>
            <w:tcW w:w="1347"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三、培训费</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rFonts w:cs="宋体"/>
                <w:color w:val="000000"/>
                <w:sz w:val="16"/>
                <w:szCs w:val="16"/>
              </w:rPr>
              <w:t>0.02</w:t>
            </w: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rPr>
                <w:rFonts w:hint="default" w:cs="宋体"/>
                <w:color w:val="000000"/>
                <w:sz w:val="16"/>
                <w:szCs w:val="16"/>
              </w:rPr>
            </w:pP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rPr>
                <w:rFonts w:hint="default" w:cs="宋体"/>
                <w:color w:val="000000"/>
                <w:sz w:val="16"/>
                <w:szCs w:val="16"/>
              </w:rPr>
            </w:pPr>
          </w:p>
        </w:tc>
      </w:tr>
    </w:tbl>
    <w:p>
      <w:pPr>
        <w:rPr>
          <w:rFonts w:hint="default" w:cs="宋体"/>
          <w:sz w:val="21"/>
          <w:szCs w:val="21"/>
        </w:rPr>
      </w:pPr>
      <w:r>
        <w:rPr>
          <w:rFonts w:cs="宋体"/>
          <w:sz w:val="20"/>
          <w:szCs w:val="20"/>
        </w:rPr>
        <w:t>备注：1.本表反映单位本年度财政拨款“三公”经费支出预决算情况。其中，预算数为“三公”经费全年预算数，反映按规定程序调整后的预算数；决算数为包括本年度财政拨款和以前年度结转资金安排的实际支出。</w:t>
      </w:r>
      <w:r>
        <w:rPr>
          <w:rFonts w:cs="宋体"/>
          <w:sz w:val="20"/>
          <w:szCs w:val="20"/>
        </w:rPr>
        <w:br w:type="textWrapping"/>
      </w:r>
      <w:r>
        <w:rPr>
          <w:rFonts w:cs="宋体"/>
          <w:sz w:val="20"/>
          <w:szCs w:val="20"/>
        </w:rPr>
        <w:t xml:space="preserve">      2.本套报表金额单位转换时可能存在尾数误差。</w:t>
      </w:r>
      <w:r>
        <w:rPr>
          <w:rFonts w:cs="宋体"/>
          <w:sz w:val="20"/>
          <w:szCs w:val="20"/>
        </w:rPr>
        <w:br w:type="textWrapping"/>
      </w:r>
      <w:r>
        <w:rPr>
          <w:rFonts w:cs="宋体"/>
          <w:sz w:val="20"/>
          <w:szCs w:val="20"/>
        </w:rPr>
        <w:br w:type="textWrapping"/>
      </w:r>
    </w:p>
    <w:sectPr>
      <w:headerReference r:id="rId4" w:type="default"/>
      <w:footerReference r:id="rId5" w:type="default"/>
      <w:pgSz w:w="16839" w:h="11907" w:orient="landscape"/>
      <w:pgMar w:top="567" w:right="454" w:bottom="567" w:left="1037" w:header="0" w:footer="283" w:gutter="0"/>
      <w:pgNumType w:fmt="numberInDash"/>
      <w:cols w:space="720" w:num="1"/>
      <w:docGrid w:type="lines"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rPr>
        <w:rFonts w:hint="default"/>
      </w:rPr>
    </w:pPr>
    <w:r>
      <w:rPr>
        <w:rFonts w:hint="default"/>
      </w:rPr>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path/>
          <v:fill on="f" focussize="0,0"/>
          <v:stroke on="f" weight="0.5pt" joinstyle="miter"/>
          <v:imagedata o:title=""/>
          <o:lock v:ext="edit"/>
          <v:textbox inset="0mm,0mm,0mm,0mm" style="mso-fit-shape-to-text:t;">
            <w:txbxContent>
              <w:p>
                <w:pPr>
                  <w:pStyle w:val="3"/>
                  <w:rPr>
                    <w:rFonts w:hint="default"/>
                  </w:rPr>
                </w:pPr>
                <w:r>
                  <w:fldChar w:fldCharType="begin"/>
                </w:r>
                <w:r>
                  <w:instrText xml:space="preserve"> PAGE  \* MERGEFORMAT </w:instrText>
                </w:r>
                <w:r>
                  <w:fldChar w:fldCharType="separate"/>
                </w:r>
                <w:r>
                  <w:rPr>
                    <w:rFonts w:hint="default"/>
                  </w:rPr>
                  <w:t>- 4 -</w:t>
                </w:r>
                <w:r>
                  <w:fldChar w:fldCharType="end"/>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both"/>
      <w:rPr>
        <w:rFonts w:hint="default"/>
      </w:rPr>
    </w:pPr>
    <w:r>
      <w:rPr>
        <w:rFonts w:hint="default"/>
      </w:rPr>
      <w:pict>
        <v:shape id="_x0000_s1028" o:spid="_x0000_s1028" o:spt="202" type="#_x0000_t202" style="position:absolute;left:0pt;margin-top:0pt;height:144pt;width:144pt;mso-position-horizontal:center;mso-position-horizontal-relative:margin;mso-wrap-style:none;z-index:251660288;mso-width-relative:page;mso-height-relative:page;" filled="f" stroked="f" coordsize="21600,21600" o:allowoverlap="f"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KOYorozAgAAZwQAAA4AAAAAAAAAAQAgAAAAHwEAAGRycy9lMm9Eb2MueG1sUEsF&#10;BgAAAAAGAAYAWQEAAMQFAAAAAA==&#10;">
          <v:path/>
          <v:fill on="f" focussize="0,0"/>
          <v:stroke on="f" weight="0.5pt" joinstyle="miter"/>
          <v:imagedata o:title=""/>
          <o:lock v:ext="edit"/>
          <v:textbox inset="0mm,0mm,0mm,0mm" style="mso-fit-shape-to-text:t;">
            <w:txbxContent>
              <w:p>
                <w:pPr>
                  <w:pStyle w:val="3"/>
                  <w:rPr>
                    <w:rFonts w:hint="default"/>
                  </w:rPr>
                </w:pPr>
                <w:r>
                  <w:t xml:space="preserve"> </w:t>
                </w:r>
                <w:r>
                  <w:fldChar w:fldCharType="begin"/>
                </w:r>
                <w:r>
                  <w:instrText xml:space="preserve">PAGE   \* MERGEFORMAT</w:instrText>
                </w:r>
                <w:r>
                  <w:fldChar w:fldCharType="separate"/>
                </w:r>
                <w:r>
                  <w:rPr>
                    <w:rFonts w:hint="default"/>
                    <w:lang w:val="zh-CN"/>
                  </w:rPr>
                  <w:t>-</w:t>
                </w:r>
                <w:r>
                  <w:rPr>
                    <w:rFonts w:hint="default"/>
                  </w:rPr>
                  <w:t xml:space="preserve"> 30 -</w:t>
                </w:r>
                <w:r>
                  <w:fldChar w:fldCharType="end"/>
                </w:r>
                <w:r>
                  <w:t xml:space="preserve"> </w:t>
                </w:r>
              </w:p>
            </w:txbxContent>
          </v:textbox>
        </v:shape>
      </w:pict>
    </w:r>
    <w:r>
      <w:rPr>
        <w:rFonts w:hint="default"/>
      </w:rPr>
      <w:pict>
        <v:shape id="_x0000_s1027" o:spid="_x0000_s1027" o:spt="202" type="#_x0000_t202" style="position:absolute;left:0pt;margin-top:1160.4pt;height:17.4pt;width:144pt;mso-position-horizontal:center;mso-position-horizontal-relative:margin;mso-position-vertical-relative:page;mso-wrap-style:none;z-index:251659264;mso-width-relative:page;mso-height-relative:page;" filled="f" stroked="f" coordsize="21600,21600" o:allowoverlap="f" o:gfxdata="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eA1UVNgAAAAKAQAADwAAAAAAAAABACAAAAAiAAAAZHJzL2Rvd25y&#10;ZXYueG1sUEsBAhQAFAAAAAgAh07iQALFEI03AgAAZgQAAA4AAAAAAAAAAQAgAAAAJwEAAGRycy9l&#10;Mm9Eb2MueG1sUEsFBgAAAAAGAAYAWQEAANAFAAAAAA==&#10;">
          <v:path/>
          <v:fill on="f" focussize="0,0"/>
          <v:stroke on="f" weight="0.5pt" joinstyle="miter"/>
          <v:imagedata o:title=""/>
          <o:lock v:ext="edit"/>
          <v:textbox inset="0mm,0mm,0mm,0mm">
            <w:txbxContent>
              <w:p>
                <w:pPr>
                  <w:pStyle w:val="3"/>
                  <w:jc w:val="both"/>
                  <w:rPr>
                    <w:rFonts w:hint="default" w:cs="宋体"/>
                  </w:rPr>
                </w:pPr>
                <w:r>
                  <w:rPr>
                    <w:rFonts w:cs="宋体"/>
                  </w:rPr>
                  <w:t>— 27.1 —</w:t>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tabs>
        <w:tab w:val="left" w:pos="1758"/>
        <w:tab w:val="clear" w:pos="4153"/>
        <w:tab w:val="clear" w:pos="8306"/>
      </w:tabs>
      <w:rPr>
        <w:rFonts w:hint="default"/>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5339A02"/>
    <w:multiLevelType w:val="singleLevel"/>
    <w:tmpl w:val="C5339A02"/>
    <w:lvl w:ilvl="0" w:tentative="0">
      <w:start w:val="5"/>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HorizontalSpacing w:val="120"/>
  <w:drawingGridVerticalSpacing w:val="163"/>
  <w:displayHorizontalDrawingGridEvery w:val="2"/>
  <w:displayVerticalDrawingGridEvery w:val="2"/>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NWM4MmIyMDUzZWVjZTVjYjMzZDAxZmRhOTAxODZjODkifQ=="/>
  </w:docVars>
  <w:rsids>
    <w:rsidRoot w:val="00B03CCD"/>
    <w:rsid w:val="001D3BB7"/>
    <w:rsid w:val="002B254B"/>
    <w:rsid w:val="00466C9B"/>
    <w:rsid w:val="00550ABE"/>
    <w:rsid w:val="00770383"/>
    <w:rsid w:val="007819D4"/>
    <w:rsid w:val="007B419D"/>
    <w:rsid w:val="007B7C4B"/>
    <w:rsid w:val="007D3D39"/>
    <w:rsid w:val="00994AF7"/>
    <w:rsid w:val="009B67B8"/>
    <w:rsid w:val="009D2B67"/>
    <w:rsid w:val="00A566F9"/>
    <w:rsid w:val="00AF2751"/>
    <w:rsid w:val="00B03CCD"/>
    <w:rsid w:val="00BE2B89"/>
    <w:rsid w:val="00C10E9E"/>
    <w:rsid w:val="00C20C3E"/>
    <w:rsid w:val="00F73F90"/>
    <w:rsid w:val="01474EBF"/>
    <w:rsid w:val="01F3521E"/>
    <w:rsid w:val="03B87EA0"/>
    <w:rsid w:val="03E3214F"/>
    <w:rsid w:val="044C50BA"/>
    <w:rsid w:val="05BC6D49"/>
    <w:rsid w:val="06194FF1"/>
    <w:rsid w:val="06A2550B"/>
    <w:rsid w:val="06F80EE2"/>
    <w:rsid w:val="07001CCA"/>
    <w:rsid w:val="075678DB"/>
    <w:rsid w:val="079D7CC7"/>
    <w:rsid w:val="08051BCA"/>
    <w:rsid w:val="086C12F4"/>
    <w:rsid w:val="08705944"/>
    <w:rsid w:val="08BA052C"/>
    <w:rsid w:val="08DB07BA"/>
    <w:rsid w:val="0969353F"/>
    <w:rsid w:val="098305D0"/>
    <w:rsid w:val="0A3317EA"/>
    <w:rsid w:val="0A5C4B69"/>
    <w:rsid w:val="0A86124A"/>
    <w:rsid w:val="0AB54CC0"/>
    <w:rsid w:val="0B9335CE"/>
    <w:rsid w:val="0BF2311A"/>
    <w:rsid w:val="0C7927C4"/>
    <w:rsid w:val="0C9B098C"/>
    <w:rsid w:val="0D673E11"/>
    <w:rsid w:val="0DDA54E4"/>
    <w:rsid w:val="0E3A5F83"/>
    <w:rsid w:val="0F836721"/>
    <w:rsid w:val="0FA25D96"/>
    <w:rsid w:val="107B59E5"/>
    <w:rsid w:val="10EC0126"/>
    <w:rsid w:val="10F70B9A"/>
    <w:rsid w:val="111445C7"/>
    <w:rsid w:val="114278C6"/>
    <w:rsid w:val="1143380C"/>
    <w:rsid w:val="1158083A"/>
    <w:rsid w:val="11643A4B"/>
    <w:rsid w:val="11ED0F98"/>
    <w:rsid w:val="11F03528"/>
    <w:rsid w:val="12C921C4"/>
    <w:rsid w:val="13871C70"/>
    <w:rsid w:val="13A71CB4"/>
    <w:rsid w:val="13AF1D43"/>
    <w:rsid w:val="13CE1647"/>
    <w:rsid w:val="13FD55AB"/>
    <w:rsid w:val="14200702"/>
    <w:rsid w:val="163A6CEE"/>
    <w:rsid w:val="173708E3"/>
    <w:rsid w:val="17C374FC"/>
    <w:rsid w:val="182E4AB6"/>
    <w:rsid w:val="189079DC"/>
    <w:rsid w:val="189B0D0B"/>
    <w:rsid w:val="18B43F7C"/>
    <w:rsid w:val="194A1770"/>
    <w:rsid w:val="19B906A4"/>
    <w:rsid w:val="1B6F15B6"/>
    <w:rsid w:val="1BAA2EDC"/>
    <w:rsid w:val="1CA55E64"/>
    <w:rsid w:val="1D014A01"/>
    <w:rsid w:val="1D022362"/>
    <w:rsid w:val="1D1B04B0"/>
    <w:rsid w:val="1DA52501"/>
    <w:rsid w:val="1DBD6767"/>
    <w:rsid w:val="1DC52125"/>
    <w:rsid w:val="1DD26311"/>
    <w:rsid w:val="1E374ACB"/>
    <w:rsid w:val="1ECF0A66"/>
    <w:rsid w:val="1EF67CA4"/>
    <w:rsid w:val="1F020D3A"/>
    <w:rsid w:val="1F2C5189"/>
    <w:rsid w:val="1F4B0B02"/>
    <w:rsid w:val="1FBB35CD"/>
    <w:rsid w:val="1FCD26AF"/>
    <w:rsid w:val="20642787"/>
    <w:rsid w:val="21556F04"/>
    <w:rsid w:val="22403BD3"/>
    <w:rsid w:val="24B92327"/>
    <w:rsid w:val="24C14514"/>
    <w:rsid w:val="2533755C"/>
    <w:rsid w:val="25791755"/>
    <w:rsid w:val="26396DF4"/>
    <w:rsid w:val="27167136"/>
    <w:rsid w:val="271B442C"/>
    <w:rsid w:val="27B23302"/>
    <w:rsid w:val="29310A5F"/>
    <w:rsid w:val="29C37A35"/>
    <w:rsid w:val="2A076083"/>
    <w:rsid w:val="2A73162E"/>
    <w:rsid w:val="2B167953"/>
    <w:rsid w:val="2B200583"/>
    <w:rsid w:val="2B8209DE"/>
    <w:rsid w:val="2C636760"/>
    <w:rsid w:val="2C6762A3"/>
    <w:rsid w:val="2FCA4B37"/>
    <w:rsid w:val="2FE029D7"/>
    <w:rsid w:val="2FF06E00"/>
    <w:rsid w:val="30586FEC"/>
    <w:rsid w:val="315F0B22"/>
    <w:rsid w:val="31D84415"/>
    <w:rsid w:val="32285F6F"/>
    <w:rsid w:val="32770556"/>
    <w:rsid w:val="329C0913"/>
    <w:rsid w:val="32AA0460"/>
    <w:rsid w:val="3337290D"/>
    <w:rsid w:val="33E31118"/>
    <w:rsid w:val="33EF7674"/>
    <w:rsid w:val="342D7BC6"/>
    <w:rsid w:val="352930DB"/>
    <w:rsid w:val="35573069"/>
    <w:rsid w:val="355F6038"/>
    <w:rsid w:val="358C217E"/>
    <w:rsid w:val="36C9128A"/>
    <w:rsid w:val="37841E99"/>
    <w:rsid w:val="37BF1123"/>
    <w:rsid w:val="383C3F15"/>
    <w:rsid w:val="38BE4696"/>
    <w:rsid w:val="3939115E"/>
    <w:rsid w:val="39B82A39"/>
    <w:rsid w:val="39C42CA8"/>
    <w:rsid w:val="39DC4FD6"/>
    <w:rsid w:val="39F03D7A"/>
    <w:rsid w:val="39F33306"/>
    <w:rsid w:val="3A2C1C67"/>
    <w:rsid w:val="3ADD7F09"/>
    <w:rsid w:val="3B1705E5"/>
    <w:rsid w:val="3B18334B"/>
    <w:rsid w:val="3B36794F"/>
    <w:rsid w:val="3B6F6EE0"/>
    <w:rsid w:val="3C566AD6"/>
    <w:rsid w:val="3C594871"/>
    <w:rsid w:val="3C6A5B02"/>
    <w:rsid w:val="3D2757A1"/>
    <w:rsid w:val="3D3D4FC4"/>
    <w:rsid w:val="3DDF3AB1"/>
    <w:rsid w:val="3E1D0952"/>
    <w:rsid w:val="3E42660A"/>
    <w:rsid w:val="3E7555B1"/>
    <w:rsid w:val="3E787ED9"/>
    <w:rsid w:val="3F032E93"/>
    <w:rsid w:val="3F0527E5"/>
    <w:rsid w:val="3F694D83"/>
    <w:rsid w:val="3F885DCC"/>
    <w:rsid w:val="3FCD675E"/>
    <w:rsid w:val="4004000C"/>
    <w:rsid w:val="40BD5482"/>
    <w:rsid w:val="411B6CE5"/>
    <w:rsid w:val="412070D7"/>
    <w:rsid w:val="41314E40"/>
    <w:rsid w:val="41E0734B"/>
    <w:rsid w:val="426C1EA8"/>
    <w:rsid w:val="42736402"/>
    <w:rsid w:val="42E86A87"/>
    <w:rsid w:val="43307B09"/>
    <w:rsid w:val="439A3EB9"/>
    <w:rsid w:val="43BB152F"/>
    <w:rsid w:val="44C37687"/>
    <w:rsid w:val="45CB699A"/>
    <w:rsid w:val="465B470D"/>
    <w:rsid w:val="469D6AD4"/>
    <w:rsid w:val="471E6C84"/>
    <w:rsid w:val="4748792B"/>
    <w:rsid w:val="475D719D"/>
    <w:rsid w:val="47674801"/>
    <w:rsid w:val="48225EF7"/>
    <w:rsid w:val="488F422B"/>
    <w:rsid w:val="48E36915"/>
    <w:rsid w:val="48EB6572"/>
    <w:rsid w:val="495C4A24"/>
    <w:rsid w:val="497135DF"/>
    <w:rsid w:val="4A263DF2"/>
    <w:rsid w:val="4A6F6675"/>
    <w:rsid w:val="4B135857"/>
    <w:rsid w:val="4B4F113C"/>
    <w:rsid w:val="4B7951CB"/>
    <w:rsid w:val="4B7C315C"/>
    <w:rsid w:val="4DAC4ACA"/>
    <w:rsid w:val="4DBE01D2"/>
    <w:rsid w:val="4F0C6BA3"/>
    <w:rsid w:val="4F186D58"/>
    <w:rsid w:val="50F06B6E"/>
    <w:rsid w:val="51D21804"/>
    <w:rsid w:val="52234D33"/>
    <w:rsid w:val="522F6E0C"/>
    <w:rsid w:val="52463BA1"/>
    <w:rsid w:val="52F163D4"/>
    <w:rsid w:val="531A2DB4"/>
    <w:rsid w:val="53C0244D"/>
    <w:rsid w:val="53DD4D4E"/>
    <w:rsid w:val="53E578CE"/>
    <w:rsid w:val="541330F0"/>
    <w:rsid w:val="54272666"/>
    <w:rsid w:val="543B029D"/>
    <w:rsid w:val="54861779"/>
    <w:rsid w:val="552256E1"/>
    <w:rsid w:val="554E5773"/>
    <w:rsid w:val="555829E0"/>
    <w:rsid w:val="555A3CBC"/>
    <w:rsid w:val="5582012B"/>
    <w:rsid w:val="558E4E05"/>
    <w:rsid w:val="55BE2E85"/>
    <w:rsid w:val="56530F5D"/>
    <w:rsid w:val="567700D3"/>
    <w:rsid w:val="56FF7E9E"/>
    <w:rsid w:val="578867FC"/>
    <w:rsid w:val="5842572D"/>
    <w:rsid w:val="5A3B59D6"/>
    <w:rsid w:val="5AD134D8"/>
    <w:rsid w:val="5C263CE4"/>
    <w:rsid w:val="5C5D2777"/>
    <w:rsid w:val="5CF66BF3"/>
    <w:rsid w:val="5D290C69"/>
    <w:rsid w:val="5F2D4A41"/>
    <w:rsid w:val="60C74F6C"/>
    <w:rsid w:val="61025A59"/>
    <w:rsid w:val="613D5BBC"/>
    <w:rsid w:val="61536C39"/>
    <w:rsid w:val="62944DD7"/>
    <w:rsid w:val="6319381F"/>
    <w:rsid w:val="63C25DC5"/>
    <w:rsid w:val="63C62057"/>
    <w:rsid w:val="64571EF5"/>
    <w:rsid w:val="64FB113D"/>
    <w:rsid w:val="656152C6"/>
    <w:rsid w:val="6587477F"/>
    <w:rsid w:val="658C3A08"/>
    <w:rsid w:val="65C031CA"/>
    <w:rsid w:val="65CE6852"/>
    <w:rsid w:val="66267C04"/>
    <w:rsid w:val="663F505A"/>
    <w:rsid w:val="66EE5541"/>
    <w:rsid w:val="67924660"/>
    <w:rsid w:val="68407834"/>
    <w:rsid w:val="6883293E"/>
    <w:rsid w:val="688412AD"/>
    <w:rsid w:val="68EB1B71"/>
    <w:rsid w:val="6A6C7940"/>
    <w:rsid w:val="6AAD2300"/>
    <w:rsid w:val="6B474EF5"/>
    <w:rsid w:val="6C0A5AC5"/>
    <w:rsid w:val="6C560CAE"/>
    <w:rsid w:val="6C576495"/>
    <w:rsid w:val="6D903FF5"/>
    <w:rsid w:val="6DA955B8"/>
    <w:rsid w:val="6DE346AB"/>
    <w:rsid w:val="6DE5391A"/>
    <w:rsid w:val="6EFD1324"/>
    <w:rsid w:val="6F5A53AC"/>
    <w:rsid w:val="6FAC003D"/>
    <w:rsid w:val="6FE55E12"/>
    <w:rsid w:val="6FFB2E76"/>
    <w:rsid w:val="708F6F7F"/>
    <w:rsid w:val="70D94BD3"/>
    <w:rsid w:val="71C34D91"/>
    <w:rsid w:val="72DB435C"/>
    <w:rsid w:val="72E2613A"/>
    <w:rsid w:val="72F771F4"/>
    <w:rsid w:val="73934AD2"/>
    <w:rsid w:val="750837F0"/>
    <w:rsid w:val="754758CF"/>
    <w:rsid w:val="764F62AB"/>
    <w:rsid w:val="765C45EC"/>
    <w:rsid w:val="768A7619"/>
    <w:rsid w:val="772E1EBA"/>
    <w:rsid w:val="781926BC"/>
    <w:rsid w:val="796D60A4"/>
    <w:rsid w:val="79A031D5"/>
    <w:rsid w:val="7A1525F7"/>
    <w:rsid w:val="7B420052"/>
    <w:rsid w:val="7BD06A28"/>
    <w:rsid w:val="7C3A7C0B"/>
    <w:rsid w:val="7C5248E4"/>
    <w:rsid w:val="7C566698"/>
    <w:rsid w:val="7C5866A3"/>
    <w:rsid w:val="7D7406BB"/>
    <w:rsid w:val="7DE94331"/>
    <w:rsid w:val="7F446A19"/>
    <w:rsid w:val="7F7452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99"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99"/>
    <w:rPr>
      <w:rFonts w:hint="eastAsia" w:ascii="宋体" w:hAnsi="宋体" w:eastAsia="宋体" w:cs="Times New Roman"/>
      <w:sz w:val="24"/>
      <w:szCs w:val="24"/>
      <w:lang w:val="en-US" w:eastAsia="zh-CN" w:bidi="ar-SA"/>
    </w:rPr>
  </w:style>
  <w:style w:type="character" w:default="1" w:styleId="9">
    <w:name w:val="Default Paragraph Font"/>
    <w:autoRedefine/>
    <w:semiHidden/>
    <w:unhideWhenUsed/>
    <w:qFormat/>
    <w:uiPriority w:val="1"/>
  </w:style>
  <w:style w:type="table" w:default="1" w:styleId="7">
    <w:name w:val="Normal Table"/>
    <w:autoRedefine/>
    <w:semiHidden/>
    <w:unhideWhenUsed/>
    <w:qFormat/>
    <w:uiPriority w:val="99"/>
    <w:tblPr>
      <w:tblCellMar>
        <w:top w:w="0" w:type="dxa"/>
        <w:left w:w="108" w:type="dxa"/>
        <w:bottom w:w="0" w:type="dxa"/>
        <w:right w:w="108" w:type="dxa"/>
      </w:tblCellMar>
    </w:tblPr>
  </w:style>
  <w:style w:type="paragraph" w:styleId="2">
    <w:name w:val="Balloon Text"/>
    <w:basedOn w:val="1"/>
    <w:link w:val="15"/>
    <w:autoRedefine/>
    <w:qFormat/>
    <w:uiPriority w:val="0"/>
    <w:rPr>
      <w:sz w:val="18"/>
      <w:szCs w:val="18"/>
    </w:rPr>
  </w:style>
  <w:style w:type="paragraph" w:styleId="3">
    <w:name w:val="footer"/>
    <w:basedOn w:val="1"/>
    <w:autoRedefine/>
    <w:qFormat/>
    <w:uiPriority w:val="0"/>
    <w:pPr>
      <w:tabs>
        <w:tab w:val="center" w:pos="4153"/>
        <w:tab w:val="right" w:pos="8306"/>
      </w:tabs>
      <w:snapToGrid w:val="0"/>
    </w:pPr>
    <w:rPr>
      <w:sz w:val="18"/>
      <w:szCs w:val="18"/>
    </w:rPr>
  </w:style>
  <w:style w:type="paragraph" w:styleId="4">
    <w:name w:val="header"/>
    <w:basedOn w:val="1"/>
    <w:autoRedefine/>
    <w:qFormat/>
    <w:uiPriority w:val="0"/>
    <w:pPr>
      <w:tabs>
        <w:tab w:val="center" w:pos="4153"/>
        <w:tab w:val="right" w:pos="8306"/>
      </w:tabs>
      <w:snapToGrid w:val="0"/>
      <w:jc w:val="center"/>
    </w:pPr>
    <w:rPr>
      <w:sz w:val="18"/>
      <w:szCs w:val="18"/>
    </w:rPr>
  </w:style>
  <w:style w:type="paragraph" w:styleId="5">
    <w:name w:val="HTML Preformatted"/>
    <w:basedOn w:val="1"/>
    <w:autoRedefine/>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style>
  <w:style w:type="paragraph" w:styleId="6">
    <w:name w:val="Normal (Web)"/>
    <w:basedOn w:val="1"/>
    <w:autoRedefine/>
    <w:unhideWhenUsed/>
    <w:qFormat/>
    <w:uiPriority w:val="0"/>
    <w:pPr>
      <w:spacing w:before="100" w:beforeAutospacing="1" w:after="100" w:afterAutospacing="1"/>
    </w:pPr>
  </w:style>
  <w:style w:type="table" w:styleId="8">
    <w:name w:val="Table Grid"/>
    <w:basedOn w:val="7"/>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0">
    <w:name w:val="Strong"/>
    <w:autoRedefine/>
    <w:qFormat/>
    <w:uiPriority w:val="0"/>
    <w:rPr>
      <w:b/>
    </w:rPr>
  </w:style>
  <w:style w:type="paragraph" w:customStyle="1" w:styleId="11">
    <w:name w:val="列出段落1"/>
    <w:basedOn w:val="1"/>
    <w:autoRedefine/>
    <w:qFormat/>
    <w:uiPriority w:val="99"/>
    <w:pPr>
      <w:ind w:firstLine="420" w:firstLineChars="200"/>
    </w:pPr>
    <w:rPr>
      <w:rFonts w:hint="default"/>
    </w:rPr>
  </w:style>
  <w:style w:type="paragraph" w:customStyle="1" w:styleId="12">
    <w:name w:val="普通(网站) Char"/>
    <w:autoRedefine/>
    <w:qFormat/>
    <w:uiPriority w:val="0"/>
    <w:pPr>
      <w:spacing w:before="100" w:beforeAutospacing="1" w:after="100" w:afterAutospacing="1"/>
    </w:pPr>
    <w:rPr>
      <w:rFonts w:ascii="宋体" w:hAnsi="宋体" w:eastAsia="宋体" w:cs="Times New Roman"/>
      <w:sz w:val="24"/>
      <w:szCs w:val="24"/>
      <w:lang w:val="en-US" w:eastAsia="zh-CN" w:bidi="ar-SA"/>
    </w:rPr>
  </w:style>
  <w:style w:type="character" w:customStyle="1" w:styleId="13">
    <w:name w:val="21"/>
    <w:autoRedefine/>
    <w:qFormat/>
    <w:uiPriority w:val="0"/>
    <w:rPr>
      <w:rFonts w:hint="default" w:ascii="Wingdings" w:hAnsi="Wingdings" w:cs="Wingdings"/>
      <w:b/>
      <w:bCs/>
    </w:rPr>
  </w:style>
  <w:style w:type="paragraph" w:customStyle="1" w:styleId="14">
    <w:name w:val="列出段落2"/>
    <w:autoRedefine/>
    <w:qFormat/>
    <w:uiPriority w:val="99"/>
    <w:pPr>
      <w:ind w:firstLine="420" w:firstLineChars="200"/>
    </w:pPr>
    <w:rPr>
      <w:rFonts w:ascii="宋体" w:hAnsi="宋体" w:eastAsia="宋体" w:cs="Times New Roman"/>
      <w:sz w:val="24"/>
      <w:szCs w:val="24"/>
      <w:lang w:val="en-US" w:eastAsia="zh-CN" w:bidi="ar-SA"/>
    </w:rPr>
  </w:style>
  <w:style w:type="character" w:customStyle="1" w:styleId="15">
    <w:name w:val="批注框文本 Char"/>
    <w:basedOn w:val="9"/>
    <w:link w:val="2"/>
    <w:autoRedefine/>
    <w:qFormat/>
    <w:uiPriority w:val="0"/>
    <w:rPr>
      <w:rFonts w:ascii="宋体" w:hAnsi="宋体"/>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Info spid="_x0000_s1028"/>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32</Pages>
  <Words>4001</Words>
  <Characters>22811</Characters>
  <Lines>190</Lines>
  <Paragraphs>53</Paragraphs>
  <TotalTime>0</TotalTime>
  <ScaleCrop>false</ScaleCrop>
  <LinksUpToDate>false</LinksUpToDate>
  <CharactersWithSpaces>26759</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2024-07-11T02:00:00Z</dcterms:created>
  <dc:creator>Administrator</dc:creator>
  <cp:lastModifiedBy>Administrator</cp:lastModifiedBy>
  <dcterms:modified xsi:type="dcterms:W3CDTF">2024-10-17T02:13:27Z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BB46EABDBB2749749395447164B066B3_12</vt:lpwstr>
  </property>
</Properties>
</file>