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90" w:lineRule="exact"/>
        <w:ind w:firstLine="1080" w:firstLineChars="300"/>
        <w:rPr>
          <w:rFonts w:ascii="方正小标宋_GBK" w:eastAsia="方正小标宋_GBK"/>
          <w:sz w:val="36"/>
          <w:szCs w:val="36"/>
        </w:rPr>
      </w:pPr>
      <w:bookmarkStart w:id="0" w:name="_GoBack"/>
      <w:bookmarkEnd w:id="0"/>
      <w:r>
        <w:rPr>
          <w:rFonts w:hint="eastAsia" w:ascii="方正小标宋_GBK" w:eastAsia="方正小标宋_GBK"/>
          <w:sz w:val="36"/>
          <w:szCs w:val="36"/>
        </w:rPr>
        <w:t xml:space="preserve"> </w:t>
      </w:r>
    </w:p>
    <w:p>
      <w:pPr>
        <w:spacing w:line="590" w:lineRule="exact"/>
        <w:ind w:firstLine="1080" w:firstLineChars="300"/>
        <w:rPr>
          <w:rFonts w:ascii="方正小标宋_GBK" w:eastAsia="方正小标宋_GBK"/>
          <w:sz w:val="36"/>
          <w:szCs w:val="36"/>
        </w:rPr>
      </w:pPr>
    </w:p>
    <w:p>
      <w:pPr>
        <w:spacing w:line="590" w:lineRule="exact"/>
        <w:ind w:firstLine="1080" w:firstLineChars="300"/>
        <w:rPr>
          <w:rFonts w:ascii="方正小标宋_GBK" w:eastAsia="方正小标宋_GBK"/>
          <w:sz w:val="36"/>
          <w:szCs w:val="36"/>
        </w:rPr>
      </w:pPr>
    </w:p>
    <w:p>
      <w:pPr>
        <w:spacing w:line="590" w:lineRule="exact"/>
        <w:ind w:firstLine="1080" w:firstLineChars="300"/>
        <w:rPr>
          <w:rFonts w:ascii="方正小标宋_GBK" w:eastAsia="方正小标宋_GBK"/>
          <w:sz w:val="36"/>
          <w:szCs w:val="36"/>
        </w:rPr>
      </w:pPr>
    </w:p>
    <w:p>
      <w:pPr>
        <w:spacing w:line="590" w:lineRule="exact"/>
        <w:ind w:firstLine="1080" w:firstLineChars="300"/>
        <w:rPr>
          <w:rFonts w:ascii="方正小标宋_GBK" w:eastAsia="方正小标宋_GBK"/>
          <w:sz w:val="36"/>
          <w:szCs w:val="36"/>
        </w:rPr>
      </w:pPr>
    </w:p>
    <w:p>
      <w:pPr>
        <w:spacing w:line="590" w:lineRule="exact"/>
        <w:ind w:firstLine="1080" w:firstLineChars="300"/>
        <w:rPr>
          <w:rFonts w:ascii="方正小标宋_GBK" w:eastAsia="方正小标宋_GBK"/>
          <w:sz w:val="36"/>
          <w:szCs w:val="36"/>
        </w:rPr>
      </w:pPr>
    </w:p>
    <w:p>
      <w:pPr>
        <w:spacing w:line="590" w:lineRule="exact"/>
        <w:rPr>
          <w:rFonts w:ascii="方正小标宋_GBK" w:eastAsia="方正小标宋_GBK"/>
          <w:sz w:val="36"/>
          <w:szCs w:val="36"/>
        </w:rPr>
      </w:pPr>
    </w:p>
    <w:p>
      <w:pPr>
        <w:spacing w:line="590" w:lineRule="exact"/>
        <w:ind w:firstLine="960" w:firstLineChars="300"/>
        <w:jc w:val="center"/>
        <w:rPr>
          <w:rFonts w:ascii="方正仿宋_GBK" w:hAnsi="方正仿宋_GBK" w:cs="方正仿宋_GBK"/>
        </w:rPr>
      </w:pPr>
    </w:p>
    <w:p>
      <w:pPr>
        <w:spacing w:line="590" w:lineRule="exact"/>
        <w:ind w:firstLine="960" w:firstLineChars="300"/>
        <w:jc w:val="center"/>
        <w:rPr>
          <w:rFonts w:ascii="方正仿宋_GBK" w:hAnsi="方正仿宋_GBK" w:cs="方正仿宋_GBK"/>
        </w:rPr>
      </w:pPr>
      <w:r>
        <w:rPr>
          <w:rFonts w:hint="eastAsia" w:ascii="方正仿宋_GBK" w:hAnsi="方正仿宋_GBK" w:cs="方正仿宋_GBK"/>
        </w:rPr>
        <w:t>拾万府文〔2021〕165号</w:t>
      </w:r>
    </w:p>
    <w:p>
      <w:pPr>
        <w:spacing w:line="580" w:lineRule="exact"/>
        <w:ind w:firstLine="1080" w:firstLineChars="300"/>
        <w:rPr>
          <w:rFonts w:ascii="方正小标宋_GBK" w:eastAsia="方正小标宋_GBK"/>
          <w:sz w:val="36"/>
          <w:szCs w:val="36"/>
        </w:rPr>
      </w:pPr>
    </w:p>
    <w:p>
      <w:pPr>
        <w:spacing w:line="580" w:lineRule="exact"/>
        <w:ind w:firstLine="1760" w:firstLineChars="400"/>
        <w:rPr>
          <w:rFonts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重庆市大足区拾万镇人民政府</w:t>
      </w:r>
    </w:p>
    <w:p>
      <w:pPr>
        <w:spacing w:line="580" w:lineRule="exact"/>
        <w:jc w:val="center"/>
        <w:rPr>
          <w:rFonts w:ascii="方正小标宋_GBK" w:hAnsi="方正小标宋_GBK" w:eastAsia="方正小标宋_GBK" w:cs="方正小标宋_GBK"/>
          <w:spacing w:val="-17"/>
          <w:sz w:val="44"/>
          <w:szCs w:val="44"/>
        </w:rPr>
      </w:pPr>
      <w:r>
        <w:rPr>
          <w:rFonts w:ascii="方正小标宋_GBK" w:hAnsi="方正小标宋_GBK" w:eastAsia="方正小标宋_GBK" w:cs="方正小标宋_GBK"/>
          <w:spacing w:val="-17"/>
          <w:sz w:val="44"/>
          <w:szCs w:val="44"/>
        </w:rPr>
        <w:t xml:space="preserve"> 关于</w:t>
      </w:r>
      <w:r>
        <w:rPr>
          <w:rFonts w:hint="eastAsia" w:ascii="方正小标宋_GBK" w:hAnsi="方正小标宋_GBK" w:eastAsia="方正小标宋_GBK" w:cs="方正小标宋_GBK"/>
          <w:spacing w:val="-17"/>
          <w:sz w:val="44"/>
          <w:szCs w:val="44"/>
        </w:rPr>
        <w:t>拾万镇2021年法治政府建设情况</w:t>
      </w:r>
      <w:r>
        <w:rPr>
          <w:rFonts w:ascii="方正小标宋_GBK" w:hAnsi="方正小标宋_GBK" w:eastAsia="方正小标宋_GBK" w:cs="方正小标宋_GBK"/>
          <w:spacing w:val="-17"/>
          <w:sz w:val="44"/>
          <w:szCs w:val="44"/>
        </w:rPr>
        <w:t>的</w:t>
      </w:r>
      <w:r>
        <w:rPr>
          <w:rFonts w:hint="eastAsia" w:ascii="方正小标宋_GBK" w:hAnsi="方正小标宋_GBK" w:eastAsia="方正小标宋_GBK" w:cs="方正小标宋_GBK"/>
          <w:spacing w:val="-17"/>
          <w:sz w:val="44"/>
          <w:szCs w:val="44"/>
        </w:rPr>
        <w:t>报告</w:t>
      </w:r>
    </w:p>
    <w:p>
      <w:pPr>
        <w:spacing w:line="580" w:lineRule="exact"/>
        <w:ind w:firstLine="640" w:firstLineChars="200"/>
        <w:rPr>
          <w:rFonts w:ascii="方正仿宋_GBK" w:hAnsi="Times New Roman"/>
        </w:rPr>
      </w:pPr>
    </w:p>
    <w:p>
      <w:pPr>
        <w:spacing w:line="594" w:lineRule="exact"/>
        <w:rPr>
          <w:rFonts w:ascii="方正仿宋_GBK" w:hAnsi="Times New Roman"/>
        </w:rPr>
      </w:pPr>
      <w:r>
        <w:rPr>
          <w:rFonts w:hint="eastAsia" w:ascii="方正仿宋_GBK" w:hAnsi="Times New Roman"/>
        </w:rPr>
        <w:t>区</w:t>
      </w:r>
      <w:r>
        <w:rPr>
          <w:rFonts w:hint="default" w:ascii="方正仿宋_GBK" w:hAnsi="Times New Roman"/>
        </w:rPr>
        <w:t>政府</w:t>
      </w:r>
      <w:r>
        <w:rPr>
          <w:rFonts w:hint="eastAsia" w:ascii="方正仿宋_GBK" w:hAnsi="Times New Roman"/>
        </w:rPr>
        <w:t>：</w:t>
      </w:r>
    </w:p>
    <w:p>
      <w:pPr>
        <w:spacing w:line="594" w:lineRule="exact"/>
        <w:ind w:firstLine="640" w:firstLineChars="200"/>
        <w:rPr>
          <w:rFonts w:ascii="方正黑体_GBK" w:hAnsi="Times New Roman" w:eastAsia="方正黑体_GBK"/>
        </w:rPr>
      </w:pPr>
      <w:r>
        <w:rPr>
          <w:rFonts w:ascii="方正仿宋_GBK" w:hAnsi="Times New Roman"/>
        </w:rPr>
        <w:t>根据</w:t>
      </w:r>
      <w:r>
        <w:rPr>
          <w:rFonts w:hint="eastAsia" w:ascii="方正仿宋_GBK" w:hAnsi="Times New Roman"/>
        </w:rPr>
        <w:t>《法治政府建设与责任落实督察工作规定》和大足区政府办公室《关于印发大足区</w:t>
      </w:r>
      <w:r>
        <w:rPr>
          <w:rFonts w:hint="eastAsia" w:ascii="Times New Roman" w:hAnsi="Times New Roman"/>
        </w:rPr>
        <w:t>2021</w:t>
      </w:r>
      <w:r>
        <w:rPr>
          <w:rFonts w:hint="eastAsia" w:ascii="方正仿宋_GBK" w:hAnsi="Times New Roman"/>
        </w:rPr>
        <w:t>年法治政府建设工作要点的通知》（大足府办法</w:t>
      </w:r>
      <w:r>
        <w:rPr>
          <w:rFonts w:ascii="方正仿宋_GBK" w:hAnsi="Times New Roman"/>
        </w:rPr>
        <w:t>〔</w:t>
      </w:r>
      <w:r>
        <w:rPr>
          <w:rFonts w:ascii="Times New Roman" w:hAnsi="Times New Roman"/>
        </w:rPr>
        <w:t>202</w:t>
      </w:r>
      <w:r>
        <w:rPr>
          <w:rFonts w:hint="eastAsia" w:ascii="Times New Roman" w:hAnsi="Times New Roman"/>
        </w:rPr>
        <w:t>1</w:t>
      </w:r>
      <w:r>
        <w:rPr>
          <w:rFonts w:ascii="方正仿宋_GBK" w:hAnsi="Times New Roman"/>
        </w:rPr>
        <w:t>〕</w:t>
      </w:r>
      <w:r>
        <w:rPr>
          <w:rFonts w:hint="eastAsia" w:ascii="Times New Roman" w:hAnsi="Times New Roman"/>
        </w:rPr>
        <w:t>69</w:t>
      </w:r>
      <w:r>
        <w:rPr>
          <w:rFonts w:hint="eastAsia" w:ascii="方正仿宋_GBK" w:hAnsi="Times New Roman"/>
        </w:rPr>
        <w:t>号）文件要求，结合单位实际，</w:t>
      </w:r>
      <w:r>
        <w:rPr>
          <w:rFonts w:ascii="方正仿宋_GBK" w:hAnsi="Times New Roman"/>
        </w:rPr>
        <w:t>现将</w:t>
      </w:r>
      <w:r>
        <w:rPr>
          <w:rFonts w:hint="eastAsia" w:ascii="Times New Roman" w:hAnsi="Times New Roman"/>
        </w:rPr>
        <w:t>2021</w:t>
      </w:r>
      <w:r>
        <w:rPr>
          <w:rFonts w:hint="eastAsia" w:ascii="方正仿宋_GBK" w:hAnsi="Times New Roman"/>
        </w:rPr>
        <w:t>年法治政府建设情况报告如下：</w:t>
      </w:r>
    </w:p>
    <w:p>
      <w:pPr>
        <w:spacing w:line="594" w:lineRule="exact"/>
        <w:ind w:firstLine="640" w:firstLineChars="200"/>
        <w:rPr>
          <w:rFonts w:ascii="方正黑体_GBK" w:hAnsi="方正黑体_GBK" w:eastAsia="方正黑体_GBK" w:cs="方正黑体_GBK"/>
        </w:rPr>
      </w:pPr>
      <w:r>
        <w:rPr>
          <w:rFonts w:hint="eastAsia" w:ascii="方正黑体_GBK" w:hAnsi="方正黑体_GBK" w:eastAsia="方正黑体_GBK" w:cs="方正黑体_GBK"/>
        </w:rPr>
        <w:t>一、推进法治政府建设的主要举措及成效</w:t>
      </w:r>
    </w:p>
    <w:p>
      <w:pPr>
        <w:spacing w:line="594" w:lineRule="exact"/>
        <w:ind w:firstLine="640" w:firstLineChars="200"/>
        <w:rPr>
          <w:rFonts w:ascii="Times New Roman" w:hAnsi="Times New Roman"/>
          <w:color w:val="000000"/>
          <w:shd w:val="clear" w:color="auto" w:fill="FFFFFF"/>
        </w:rPr>
      </w:pPr>
      <w:r>
        <w:rPr>
          <w:rFonts w:ascii="Times New Roman" w:hAnsi="Times New Roman" w:eastAsia="方正楷体_GBK"/>
          <w:color w:val="000000"/>
          <w:shd w:val="clear" w:color="auto" w:fill="FFFFFF"/>
        </w:rPr>
        <w:t>（一）强化政治站位，加强组织保障。</w:t>
      </w:r>
      <w:r>
        <w:rPr>
          <w:rFonts w:hint="eastAsia" w:ascii="Times New Roman" w:hAnsi="Times New Roman"/>
          <w:color w:val="000000"/>
          <w:shd w:val="clear" w:color="auto" w:fill="FFFFFF"/>
        </w:rPr>
        <w:t>拾万</w:t>
      </w:r>
      <w:r>
        <w:rPr>
          <w:rFonts w:ascii="Times New Roman" w:hAnsi="Times New Roman"/>
          <w:color w:val="000000"/>
          <w:shd w:val="clear" w:color="auto" w:fill="FFFFFF"/>
        </w:rPr>
        <w:t>镇党委、政府始终把法治建设工作摆在重要的位置，早研究、重部署、抓实效，充分发挥党的领导核心作用，通过召开党委会、中心组学习、干部职工大会学习贯彻</w:t>
      </w:r>
      <w:r>
        <w:rPr>
          <w:rFonts w:ascii="Times New Roman" w:hAnsi="Times New Roman"/>
          <w:shd w:val="clear" w:color="auto" w:fill="FFFFFF"/>
        </w:rPr>
        <w:t>习近平法治思想和中央全面依法治国工作会议精神</w:t>
      </w:r>
      <w:r>
        <w:rPr>
          <w:rFonts w:ascii="Times New Roman" w:hAnsi="Times New Roman"/>
          <w:color w:val="000000"/>
          <w:shd w:val="clear" w:color="auto" w:fill="FFFFFF"/>
        </w:rPr>
        <w:t>，传达上级有关法治工作部署和研</w:t>
      </w:r>
    </w:p>
    <w:p>
      <w:pPr>
        <w:spacing w:line="594" w:lineRule="exact"/>
        <w:rPr>
          <w:rFonts w:ascii="方正黑体_GBK" w:hAnsi="Times New Roman" w:eastAsia="方正黑体_GBK"/>
        </w:rPr>
      </w:pPr>
      <w:r>
        <w:rPr>
          <w:rFonts w:ascii="Times New Roman" w:hAnsi="Times New Roman"/>
          <w:color w:val="000000"/>
          <w:shd w:val="clear" w:color="auto" w:fill="FFFFFF"/>
        </w:rPr>
        <w:t>究本镇法治建设工作。</w:t>
      </w:r>
    </w:p>
    <w:p>
      <w:pPr>
        <w:spacing w:line="594" w:lineRule="exact"/>
        <w:ind w:firstLine="640"/>
        <w:jc w:val="left"/>
        <w:rPr>
          <w:rFonts w:ascii="Times New Roman" w:hAnsi="Times New Roman"/>
          <w:color w:val="000000"/>
          <w:shd w:val="clear" w:color="auto" w:fill="FFFFFF"/>
        </w:rPr>
      </w:pPr>
      <w:r>
        <w:rPr>
          <w:rFonts w:ascii="Times New Roman" w:hAnsi="Times New Roman" w:eastAsia="方正楷体_GBK"/>
          <w:color w:val="000000"/>
          <w:shd w:val="clear" w:color="auto" w:fill="FFFFFF"/>
        </w:rPr>
        <w:t>（二）强化依法行政，推进法治建设。</w:t>
      </w:r>
      <w:r>
        <w:rPr>
          <w:rFonts w:hint="eastAsia" w:ascii="方正楷体_GBK" w:hAnsi="方正楷体_GBK" w:eastAsia="方正楷体_GBK" w:cs="方正楷体_GBK"/>
          <w:bCs/>
          <w:color w:val="000000"/>
          <w:shd w:val="clear" w:color="auto" w:fill="FFFFFF"/>
        </w:rPr>
        <w:t>一是健全决策机制。</w:t>
      </w:r>
      <w:r>
        <w:rPr>
          <w:rFonts w:ascii="Times New Roman" w:hAnsi="Times New Roman"/>
          <w:color w:val="000000"/>
          <w:shd w:val="clear" w:color="auto" w:fill="FFFFFF"/>
        </w:rPr>
        <w:t>重大决策和重要事项均按照《党委议事规则》《行政办公会议事规则》规定的程序，进行合法性审查后，经过充分集体讨论，方做出决策。</w:t>
      </w:r>
      <w:r>
        <w:rPr>
          <w:rFonts w:ascii="Times New Roman" w:hAnsi="Times New Roman"/>
          <w:color w:val="000000" w:themeColor="text1"/>
          <w:shd w:val="clear" w:color="auto" w:fill="FFFFFF"/>
        </w:rPr>
        <w:t>全镇</w:t>
      </w:r>
      <w:r>
        <w:rPr>
          <w:rFonts w:hint="eastAsia" w:ascii="Times New Roman" w:hAnsi="Times New Roman"/>
          <w:color w:val="000000" w:themeColor="text1"/>
          <w:shd w:val="clear" w:color="auto" w:fill="FFFFFF"/>
        </w:rPr>
        <w:t>10</w:t>
      </w:r>
      <w:r>
        <w:rPr>
          <w:rFonts w:ascii="Times New Roman" w:hAnsi="Times New Roman"/>
          <w:color w:val="000000" w:themeColor="text1"/>
          <w:shd w:val="clear" w:color="auto" w:fill="FFFFFF"/>
        </w:rPr>
        <w:t>个村（社区）均已完成一村（社区）一法律顾问工作全面覆盖。</w:t>
      </w:r>
      <w:r>
        <w:rPr>
          <w:rFonts w:hint="eastAsia" w:ascii="方正楷体_GBK" w:hAnsi="方正楷体_GBK" w:eastAsia="方正楷体_GBK" w:cs="方正楷体_GBK"/>
          <w:bCs/>
          <w:color w:val="000000"/>
          <w:shd w:val="clear" w:color="auto" w:fill="FFFFFF"/>
        </w:rPr>
        <w:t>二是坚持严格规范公正文明执法。</w:t>
      </w:r>
      <w:r>
        <w:rPr>
          <w:rFonts w:ascii="Times New Roman" w:hAnsi="Times New Roman"/>
          <w:color w:val="000000"/>
          <w:shd w:val="clear" w:color="auto" w:fill="FFFFFF"/>
        </w:rPr>
        <w:t>规范行政执法行为，严格依法行权履职，坚持法定职责必须为，法无授权不可为。</w:t>
      </w:r>
      <w:r>
        <w:rPr>
          <w:rFonts w:hint="eastAsia" w:ascii="方正楷体_GBK" w:hAnsi="方正楷体_GBK" w:eastAsia="方正楷体_GBK" w:cs="方正楷体_GBK"/>
          <w:bCs/>
          <w:color w:val="000000"/>
          <w:shd w:val="clear" w:color="auto" w:fill="FFFFFF"/>
        </w:rPr>
        <w:t>三是优化政务服务。</w:t>
      </w:r>
      <w:r>
        <w:rPr>
          <w:rFonts w:ascii="Times New Roman" w:hAnsi="Times New Roman"/>
          <w:color w:val="000000"/>
          <w:shd w:val="clear" w:color="auto" w:fill="FFFFFF"/>
        </w:rPr>
        <w:t>着力加强服务型政府建设，积极推进“互联网+政务服务”的政务服务建设，完善1个镇级公共服务中心和</w:t>
      </w:r>
      <w:r>
        <w:rPr>
          <w:rFonts w:hint="eastAsia" w:ascii="Times New Roman" w:hAnsi="Times New Roman"/>
          <w:color w:val="000000"/>
          <w:shd w:val="clear" w:color="auto" w:fill="FFFFFF"/>
        </w:rPr>
        <w:t>10</w:t>
      </w:r>
      <w:r>
        <w:rPr>
          <w:rFonts w:ascii="Times New Roman" w:hAnsi="Times New Roman"/>
          <w:color w:val="000000"/>
          <w:shd w:val="clear" w:color="auto" w:fill="FFFFFF"/>
        </w:rPr>
        <w:t>个村级公共服务站的建设，整合提升政务服务大厅“一站式”功能，进一步做好政务公开工作</w:t>
      </w:r>
      <w:r>
        <w:rPr>
          <w:rFonts w:hint="eastAsia" w:ascii="Times New Roman" w:hAnsi="Times New Roman"/>
          <w:color w:val="000000"/>
          <w:shd w:val="clear" w:color="auto" w:fill="FFFFFF"/>
        </w:rPr>
        <w:t>。</w:t>
      </w:r>
      <w:r>
        <w:rPr>
          <w:rFonts w:ascii="Times New Roman" w:hAnsi="Times New Roman"/>
          <w:color w:val="000000"/>
          <w:shd w:val="clear" w:color="auto" w:fill="FFFFFF"/>
        </w:rPr>
        <w:t>通过镇办事大厅等窗口单位和“渝快办”等数字信息服务平台，为广大群众提供便民利民的服务，并进一步完善各项办事规章制度，服务大厅今年代理办结基层群众事项</w:t>
      </w:r>
      <w:r>
        <w:rPr>
          <w:rFonts w:hint="eastAsia" w:ascii="Times New Roman" w:hAnsi="Times New Roman"/>
          <w:color w:val="000000"/>
          <w:shd w:val="clear" w:color="auto" w:fill="FFFFFF"/>
        </w:rPr>
        <w:t>1万余</w:t>
      </w:r>
      <w:r>
        <w:rPr>
          <w:rFonts w:ascii="Times New Roman" w:hAnsi="Times New Roman"/>
          <w:color w:val="000000"/>
          <w:shd w:val="clear" w:color="auto" w:fill="FFFFFF"/>
        </w:rPr>
        <w:t>件，依法行政服务受到群众好评。</w:t>
      </w:r>
      <w:r>
        <w:rPr>
          <w:rFonts w:hint="eastAsia" w:ascii="方正楷体_GBK" w:hAnsi="方正楷体_GBK" w:eastAsia="方正楷体_GBK" w:cs="方正楷体_GBK"/>
          <w:bCs/>
          <w:color w:val="000000"/>
          <w:shd w:val="clear" w:color="auto" w:fill="FFFFFF"/>
        </w:rPr>
        <w:t>四是加强“三治”建设。</w:t>
      </w:r>
      <w:r>
        <w:rPr>
          <w:rFonts w:ascii="Times New Roman" w:hAnsi="Times New Roman"/>
          <w:color w:val="000000"/>
          <w:shd w:val="clear" w:color="auto" w:fill="FFFFFF"/>
        </w:rPr>
        <w:t>加强乡村“自治”建设，选优配强村组干部，服务能力得到增强。健全完善基层民主决策等各项制度，重大事项提交到村民代表会议决定，让群众参与村务的决策。加强乡村“法治”建设，积极开展了创建“民主法治示范村”等基层民主法治建设活动，目前，</w:t>
      </w:r>
      <w:r>
        <w:rPr>
          <w:rFonts w:hint="eastAsia" w:ascii="Times New Roman" w:hAnsi="Times New Roman"/>
          <w:color w:val="000000"/>
          <w:shd w:val="clear" w:color="auto" w:fill="FFFFFF"/>
        </w:rPr>
        <w:t>拾万</w:t>
      </w:r>
      <w:r>
        <w:rPr>
          <w:rFonts w:ascii="Times New Roman" w:hAnsi="Times New Roman"/>
          <w:color w:val="000000"/>
          <w:shd w:val="clear" w:color="auto" w:fill="FFFFFF"/>
        </w:rPr>
        <w:t>镇1</w:t>
      </w:r>
      <w:r>
        <w:rPr>
          <w:rFonts w:hint="eastAsia" w:ascii="Times New Roman" w:hAnsi="Times New Roman"/>
          <w:color w:val="000000"/>
          <w:shd w:val="clear" w:color="auto" w:fill="FFFFFF"/>
        </w:rPr>
        <w:t>0</w:t>
      </w:r>
      <w:r>
        <w:rPr>
          <w:rFonts w:ascii="Times New Roman" w:hAnsi="Times New Roman"/>
          <w:color w:val="000000"/>
          <w:shd w:val="clear" w:color="auto" w:fill="FFFFFF"/>
        </w:rPr>
        <w:t>个村（社区）中</w:t>
      </w:r>
      <w:r>
        <w:rPr>
          <w:rFonts w:hint="eastAsia" w:ascii="Times New Roman" w:hAnsi="Times New Roman"/>
          <w:color w:val="000000"/>
          <w:shd w:val="clear" w:color="auto" w:fill="FFFFFF"/>
        </w:rPr>
        <w:t>2</w:t>
      </w:r>
      <w:r>
        <w:rPr>
          <w:rFonts w:ascii="Times New Roman" w:hAnsi="Times New Roman"/>
          <w:color w:val="000000"/>
          <w:shd w:val="clear" w:color="auto" w:fill="FFFFFF"/>
        </w:rPr>
        <w:t>个创建成为“民主法治示范村”，另外</w:t>
      </w:r>
      <w:r>
        <w:rPr>
          <w:rFonts w:hint="eastAsia" w:ascii="Times New Roman" w:hAnsi="Times New Roman"/>
          <w:color w:val="000000"/>
          <w:shd w:val="clear" w:color="auto" w:fill="FFFFFF"/>
        </w:rPr>
        <w:t>2</w:t>
      </w:r>
      <w:r>
        <w:rPr>
          <w:rFonts w:ascii="Times New Roman" w:hAnsi="Times New Roman"/>
          <w:color w:val="000000"/>
          <w:shd w:val="clear" w:color="auto" w:fill="FFFFFF"/>
        </w:rPr>
        <w:t>个</w:t>
      </w:r>
      <w:r>
        <w:rPr>
          <w:rFonts w:hint="eastAsia" w:ascii="Times New Roman" w:hAnsi="Times New Roman"/>
          <w:color w:val="000000"/>
          <w:shd w:val="clear" w:color="auto" w:fill="FFFFFF"/>
        </w:rPr>
        <w:t>正</w:t>
      </w:r>
      <w:r>
        <w:rPr>
          <w:rFonts w:ascii="Times New Roman" w:hAnsi="Times New Roman"/>
          <w:color w:val="000000"/>
          <w:shd w:val="clear" w:color="auto" w:fill="FFFFFF"/>
        </w:rPr>
        <w:t>在进行申报。加强乡村“德治”建设。在乡村振兴过程中，倡导向上向善、孝老爱亲、重义守信、勤俭持家等传统美德。</w:t>
      </w:r>
    </w:p>
    <w:p>
      <w:pPr>
        <w:spacing w:line="594" w:lineRule="exact"/>
        <w:ind w:firstLine="640"/>
        <w:rPr>
          <w:rFonts w:ascii="Times New Roman" w:hAnsi="Times New Roman"/>
          <w:color w:val="C0504D" w:themeColor="accent2"/>
        </w:rPr>
      </w:pPr>
      <w:r>
        <w:rPr>
          <w:rFonts w:ascii="Times New Roman" w:hAnsi="Times New Roman" w:eastAsia="方正楷体_GBK"/>
          <w:color w:val="000000"/>
        </w:rPr>
        <w:t>（三）强化综合治理，优化法治环境。</w:t>
      </w:r>
      <w:r>
        <w:rPr>
          <w:rFonts w:ascii="Times New Roman" w:hAnsi="Times New Roman"/>
          <w:color w:val="000000"/>
        </w:rPr>
        <w:t>牢固树立“发展是第一要务、稳定是第一责任”理念，充分依托镇综治中心工作平台，为全镇经济社会发展营造一个良好的法治环境。</w:t>
      </w:r>
      <w:r>
        <w:rPr>
          <w:rFonts w:hint="eastAsia" w:ascii="方正楷体_GBK" w:hAnsi="方正楷体_GBK" w:eastAsia="方正楷体_GBK" w:cs="方正楷体_GBK"/>
          <w:bCs/>
          <w:color w:val="000000"/>
        </w:rPr>
        <w:t>一是完善运行机制。</w:t>
      </w:r>
      <w:r>
        <w:rPr>
          <w:rFonts w:ascii="Times New Roman" w:hAnsi="Times New Roman"/>
          <w:color w:val="000000"/>
        </w:rPr>
        <w:t>建立平安建设例会制度。</w:t>
      </w:r>
      <w:r>
        <w:rPr>
          <w:rFonts w:ascii="Times New Roman" w:hAnsi="Times New Roman"/>
        </w:rPr>
        <w:t>每月研究辖区平安建设暨防范化解重大风险工作，分析研判安全稳定形势，及时发现问题派单交办。</w:t>
      </w:r>
      <w:r>
        <w:rPr>
          <w:rFonts w:hint="eastAsia" w:ascii="方正楷体_GBK" w:hAnsi="方正楷体_GBK" w:eastAsia="方正楷体_GBK" w:cs="方正楷体_GBK"/>
          <w:bCs/>
          <w:color w:val="000000"/>
        </w:rPr>
        <w:t>二是加强依法接访工作。</w:t>
      </w:r>
      <w:r>
        <w:rPr>
          <w:rFonts w:ascii="Times New Roman" w:hAnsi="Times New Roman"/>
          <w:color w:val="000000"/>
        </w:rPr>
        <w:t>镇主要领导带头执行《</w:t>
      </w:r>
      <w:r>
        <w:rPr>
          <w:rFonts w:hint="eastAsia" w:ascii="Times New Roman" w:hAnsi="Times New Roman"/>
          <w:color w:val="000000"/>
        </w:rPr>
        <w:t>拾万</w:t>
      </w:r>
      <w:r>
        <w:rPr>
          <w:rFonts w:ascii="Times New Roman" w:hAnsi="Times New Roman"/>
          <w:color w:val="000000"/>
        </w:rPr>
        <w:t>镇领导班子成员接访制度》，其他班子成员轮值接访。今年以来，共受理信访案件</w:t>
      </w:r>
      <w:r>
        <w:rPr>
          <w:rFonts w:hint="eastAsia" w:ascii="Times New Roman" w:hAnsi="Times New Roman"/>
          <w:color w:val="000000"/>
        </w:rPr>
        <w:t>34</w:t>
      </w:r>
      <w:r>
        <w:rPr>
          <w:rFonts w:ascii="Times New Roman" w:hAnsi="Times New Roman"/>
          <w:color w:val="000000"/>
        </w:rPr>
        <w:t>宗，</w:t>
      </w:r>
      <w:r>
        <w:rPr>
          <w:rFonts w:hint="eastAsia" w:ascii="Times New Roman" w:hAnsi="Times New Roman"/>
          <w:color w:val="000000"/>
        </w:rPr>
        <w:t>调处率100%</w:t>
      </w:r>
      <w:r>
        <w:rPr>
          <w:rFonts w:ascii="Times New Roman" w:hAnsi="Times New Roman"/>
          <w:color w:val="000000"/>
        </w:rPr>
        <w:t>。努力做到矛盾不上交，有力地维护了全镇大局稳定。</w:t>
      </w:r>
      <w:r>
        <w:rPr>
          <w:rFonts w:hint="eastAsia" w:ascii="方正楷体_GBK" w:hAnsi="方正楷体_GBK" w:eastAsia="方正楷体_GBK" w:cs="方正楷体_GBK"/>
          <w:bCs/>
          <w:color w:val="000000"/>
        </w:rPr>
        <w:t>三是健全矛盾纠纷排查制度。</w:t>
      </w:r>
      <w:r>
        <w:rPr>
          <w:rFonts w:ascii="Times New Roman" w:hAnsi="Times New Roman"/>
        </w:rPr>
        <w:t>坚持矛盾排查制度，</w:t>
      </w:r>
      <w:r>
        <w:rPr>
          <w:rFonts w:ascii="Times New Roman" w:hAnsi="Times New Roman"/>
          <w:color w:val="000000"/>
        </w:rPr>
        <w:t>要求各村（社区）加大矛盾纠纷排查力度，将我镇的民间纠纷基本解决在各村（社区），做到“小事不出村、大事不出镇”。</w:t>
      </w:r>
      <w:r>
        <w:rPr>
          <w:rFonts w:ascii="Times New Roman" w:hAnsi="Times New Roman"/>
        </w:rPr>
        <w:t>今年排查矛盾纠纷约</w:t>
      </w:r>
      <w:r>
        <w:rPr>
          <w:rFonts w:hint="eastAsia" w:ascii="Times New Roman" w:hAnsi="Times New Roman"/>
        </w:rPr>
        <w:t>53</w:t>
      </w:r>
      <w:r>
        <w:rPr>
          <w:rFonts w:ascii="Times New Roman" w:hAnsi="Times New Roman"/>
        </w:rPr>
        <w:t>起，调处矛盾纠纷约</w:t>
      </w:r>
      <w:r>
        <w:rPr>
          <w:rFonts w:hint="eastAsia" w:ascii="Times New Roman" w:hAnsi="Times New Roman"/>
        </w:rPr>
        <w:t>53</w:t>
      </w:r>
      <w:r>
        <w:rPr>
          <w:rFonts w:ascii="Times New Roman" w:hAnsi="Times New Roman"/>
        </w:rPr>
        <w:t>件，调处率达</w:t>
      </w:r>
      <w:r>
        <w:rPr>
          <w:rFonts w:hint="eastAsia" w:ascii="Times New Roman" w:hAnsi="Times New Roman"/>
        </w:rPr>
        <w:t>100</w:t>
      </w:r>
      <w:r>
        <w:rPr>
          <w:rFonts w:ascii="Times New Roman" w:hAnsi="Times New Roman"/>
        </w:rPr>
        <w:t>%。</w:t>
      </w:r>
      <w:r>
        <w:rPr>
          <w:rFonts w:hint="eastAsia" w:ascii="方正楷体_GBK" w:hAnsi="方正楷体_GBK" w:eastAsia="方正楷体_GBK" w:cs="方正楷体_GBK"/>
          <w:bCs/>
        </w:rPr>
        <w:t>四是全力抓好社会治安防控。</w:t>
      </w:r>
      <w:r>
        <w:rPr>
          <w:rFonts w:ascii="Times New Roman" w:hAnsi="Times New Roman"/>
          <w:color w:val="000000"/>
        </w:rPr>
        <w:t>加强对学校、</w:t>
      </w:r>
      <w:r>
        <w:rPr>
          <w:rFonts w:hint="eastAsia" w:ascii="Times New Roman" w:hAnsi="Times New Roman"/>
          <w:color w:val="000000"/>
        </w:rPr>
        <w:t>市</w:t>
      </w:r>
      <w:r>
        <w:rPr>
          <w:rFonts w:ascii="Times New Roman" w:hAnsi="Times New Roman"/>
          <w:color w:val="000000"/>
        </w:rPr>
        <w:t>场等人员密集场所巡逻防控，全镇暴恐事件“零发生”；统筹推进防邪专项工作；</w:t>
      </w:r>
      <w:r>
        <w:rPr>
          <w:rFonts w:ascii="Times New Roman" w:hAnsi="Times New Roman"/>
        </w:rPr>
        <w:t>常态化开展扫黑除恶线索摸排；</w:t>
      </w:r>
      <w:r>
        <w:rPr>
          <w:rFonts w:ascii="Times New Roman" w:hAnsi="Times New Roman"/>
          <w:color w:val="000000"/>
        </w:rPr>
        <w:t>严格落实特殊人群管控措施，压实管控责任，</w:t>
      </w:r>
      <w:r>
        <w:rPr>
          <w:rFonts w:ascii="Times New Roman" w:hAnsi="Times New Roman"/>
        </w:rPr>
        <w:t>辖区</w:t>
      </w:r>
      <w:r>
        <w:rPr>
          <w:rFonts w:hint="eastAsia" w:ascii="Times New Roman" w:hAnsi="Times New Roman"/>
        </w:rPr>
        <w:t>2</w:t>
      </w:r>
      <w:r>
        <w:rPr>
          <w:rFonts w:ascii="Times New Roman" w:hAnsi="Times New Roman"/>
        </w:rPr>
        <w:t>名社区矫正人员、</w:t>
      </w:r>
      <w:r>
        <w:rPr>
          <w:rFonts w:hint="eastAsia" w:ascii="Times New Roman" w:hAnsi="Times New Roman"/>
        </w:rPr>
        <w:t>72</w:t>
      </w:r>
      <w:r>
        <w:rPr>
          <w:rFonts w:ascii="Times New Roman" w:hAnsi="Times New Roman"/>
        </w:rPr>
        <w:t>名安置帮教人员、</w:t>
      </w:r>
      <w:r>
        <w:rPr>
          <w:rFonts w:hint="eastAsia" w:ascii="Times New Roman" w:hAnsi="Times New Roman"/>
        </w:rPr>
        <w:t>4</w:t>
      </w:r>
      <w:r>
        <w:rPr>
          <w:rFonts w:ascii="Times New Roman" w:hAnsi="Times New Roman"/>
        </w:rPr>
        <w:t>名社区戒毒康复人员和</w:t>
      </w:r>
      <w:r>
        <w:rPr>
          <w:rFonts w:hint="eastAsia" w:ascii="Times New Roman" w:hAnsi="Times New Roman"/>
        </w:rPr>
        <w:t>31</w:t>
      </w:r>
      <w:r>
        <w:rPr>
          <w:rFonts w:ascii="Times New Roman" w:hAnsi="Times New Roman"/>
        </w:rPr>
        <w:t>名3级以上严重精神障碍患者无漏管失控；</w:t>
      </w:r>
      <w:r>
        <w:rPr>
          <w:rFonts w:ascii="Times New Roman" w:hAnsi="Times New Roman"/>
          <w:color w:val="000000"/>
        </w:rPr>
        <w:t>全力推进全民反诈专项行动，压实村社、网格员责任，联合派出所广泛宣传注册国家反诈中心APP注册工作，有效防范诈骗风险。</w:t>
      </w:r>
      <w:r>
        <w:rPr>
          <w:rFonts w:hint="eastAsia" w:ascii="方正楷体_GBK" w:hAnsi="方正楷体_GBK" w:eastAsia="方正楷体_GBK" w:cs="方正楷体_GBK"/>
          <w:bCs/>
        </w:rPr>
        <w:t>五是开展道路交通安全专项整治行动。专项</w:t>
      </w:r>
      <w:r>
        <w:rPr>
          <w:rFonts w:hint="eastAsia"/>
        </w:rPr>
        <w:t>行动开展以来，处罚两、三轮电动车无牌无证、违法载人等交通违法行为164起，共罚款2730元，组织100余名两三轮、变型拖拉机车主集中学习</w:t>
      </w:r>
      <w:r>
        <w:rPr>
          <w:rFonts w:hint="eastAsia" w:ascii="方正楷体_GBK" w:hAnsi="方正楷体_GBK" w:eastAsia="方正楷体_GBK" w:cs="方正楷体_GBK"/>
        </w:rPr>
        <w:t>。</w:t>
      </w:r>
      <w:r>
        <w:rPr>
          <w:rFonts w:hint="eastAsia" w:ascii="方正楷体_GBK" w:hAnsi="方正楷体_GBK" w:eastAsia="方正楷体_GBK" w:cs="方正楷体_GBK"/>
          <w:bCs/>
        </w:rPr>
        <w:t>六是推进综治•网格化服务管理中心建设工作。</w:t>
      </w:r>
      <w:r>
        <w:rPr>
          <w:rFonts w:ascii="Times New Roman" w:hAnsi="Times New Roman"/>
        </w:rPr>
        <w:t>在区委政法委的指导下，大力推进</w:t>
      </w:r>
      <w:r>
        <w:rPr>
          <w:rFonts w:hint="eastAsia" w:ascii="Times New Roman" w:hAnsi="Times New Roman"/>
        </w:rPr>
        <w:t>10</w:t>
      </w:r>
      <w:r>
        <w:rPr>
          <w:rFonts w:ascii="Times New Roman" w:hAnsi="Times New Roman"/>
        </w:rPr>
        <w:t>个行政村</w:t>
      </w:r>
      <w:r>
        <w:rPr>
          <w:rFonts w:hint="eastAsia" w:ascii="Times New Roman" w:hAnsi="Times New Roman"/>
        </w:rPr>
        <w:t>（社区）</w:t>
      </w:r>
      <w:r>
        <w:rPr>
          <w:rFonts w:ascii="Times New Roman" w:hAnsi="Times New Roman"/>
        </w:rPr>
        <w:t>的综治中心建设工作。</w:t>
      </w:r>
    </w:p>
    <w:p>
      <w:pPr>
        <w:spacing w:line="594" w:lineRule="exact"/>
        <w:ind w:firstLine="640"/>
        <w:jc w:val="left"/>
        <w:rPr>
          <w:rFonts w:ascii="Times New Roman" w:hAnsi="Times New Roman"/>
          <w:color w:val="000000"/>
        </w:rPr>
      </w:pPr>
      <w:r>
        <w:rPr>
          <w:rFonts w:ascii="Times New Roman" w:hAnsi="Times New Roman" w:eastAsia="方正楷体_GBK"/>
          <w:color w:val="000000"/>
        </w:rPr>
        <w:t>（四）强化宣传教育，提升法治意识。</w:t>
      </w:r>
      <w:r>
        <w:rPr>
          <w:rFonts w:ascii="Times New Roman" w:hAnsi="Times New Roman"/>
        </w:rPr>
        <w:t>我镇明确把普法宣传教育工作纳入年度</w:t>
      </w:r>
      <w:r>
        <w:fldChar w:fldCharType="begin"/>
      </w:r>
      <w:r>
        <w:instrText xml:space="preserve"> HYPERLINK "http://www.91wenmi.com/wenmi/zongjie/gongzuojihua/" \h </w:instrText>
      </w:r>
      <w:r>
        <w:fldChar w:fldCharType="separate"/>
      </w:r>
      <w:r>
        <w:rPr>
          <w:rFonts w:ascii="Times New Roman" w:hAnsi="Times New Roman"/>
        </w:rPr>
        <w:t>工作计划</w:t>
      </w:r>
      <w:r>
        <w:rPr>
          <w:rFonts w:ascii="Times New Roman" w:hAnsi="Times New Roman"/>
        </w:rPr>
        <w:fldChar w:fldCharType="end"/>
      </w:r>
      <w:r>
        <w:rPr>
          <w:rFonts w:ascii="Times New Roman" w:hAnsi="Times New Roman"/>
        </w:rPr>
        <w:t>，切实把普法宣传工作摆上重要议事日程，明确普法宣传教育工作的第一责任人，落实“谁执法谁普法”“谁服务谁普法”责任制</w:t>
      </w:r>
      <w:r>
        <w:rPr>
          <w:rFonts w:hint="eastAsia" w:ascii="Times New Roman" w:hAnsi="Times New Roman"/>
        </w:rPr>
        <w:t>。</w:t>
      </w:r>
      <w:r>
        <w:rPr>
          <w:rFonts w:ascii="Times New Roman" w:hAnsi="Times New Roman"/>
        </w:rPr>
        <w:t>开展多种形式的宣传教育活动，</w:t>
      </w:r>
      <w:r>
        <w:rPr>
          <w:rFonts w:ascii="Times New Roman" w:hAnsi="Times New Roman"/>
          <w:color w:val="000000"/>
        </w:rPr>
        <w:t>广泛运用宣传栏、村务公开、横幅标语等宣传载体，利用重要节点，如</w:t>
      </w:r>
      <w:r>
        <w:rPr>
          <w:rFonts w:ascii="Times New Roman" w:hAnsi="Times New Roman"/>
        </w:rPr>
        <w:t>三月法制宣传月，6.26禁毒宣传日</w:t>
      </w:r>
      <w:r>
        <w:rPr>
          <w:rFonts w:ascii="Times New Roman" w:hAnsi="Times New Roman"/>
          <w:color w:val="000000"/>
        </w:rPr>
        <w:t>以及场镇赶集日，采取街头宣传咨询、图片展览等方式</w:t>
      </w:r>
      <w:r>
        <w:rPr>
          <w:rFonts w:ascii="Times New Roman" w:hAnsi="Times New Roman"/>
        </w:rPr>
        <w:t>，广泛宣传法治政府建设目标、工作部署、先进经验。</w:t>
      </w:r>
    </w:p>
    <w:p>
      <w:pPr>
        <w:spacing w:line="594" w:lineRule="exact"/>
        <w:ind w:firstLine="640" w:firstLineChars="200"/>
        <w:rPr>
          <w:rFonts w:ascii="方正黑体_GBK" w:hAnsi="Times New Roman" w:eastAsia="方正黑体_GBK"/>
        </w:rPr>
      </w:pPr>
      <w:r>
        <w:rPr>
          <w:rFonts w:hint="eastAsia" w:ascii="方正黑体_GBK" w:hAnsi="Times New Roman" w:eastAsia="方正黑体_GBK"/>
        </w:rPr>
        <w:t>二、主要负责人履行推进法治建设第一责任人职责</w:t>
      </w:r>
    </w:p>
    <w:p>
      <w:pPr>
        <w:spacing w:line="594" w:lineRule="exact"/>
        <w:ind w:firstLine="640" w:firstLineChars="200"/>
        <w:rPr>
          <w:rFonts w:ascii="方正楷体_GBK" w:hAnsi="方正楷体_GBK" w:eastAsia="方正楷体_GBK" w:cs="方正楷体_GBK"/>
        </w:rPr>
      </w:pPr>
      <w:r>
        <w:rPr>
          <w:rFonts w:hint="eastAsia" w:ascii="方正楷体_GBK" w:hAnsi="方正楷体_GBK" w:eastAsia="方正楷体_GBK" w:cs="方正楷体_GBK"/>
        </w:rPr>
        <w:t>（一）健全领导小组</w:t>
      </w:r>
    </w:p>
    <w:p>
      <w:pPr>
        <w:spacing w:line="594" w:lineRule="exact"/>
        <w:ind w:firstLine="640" w:firstLineChars="200"/>
        <w:rPr>
          <w:rFonts w:ascii="方正黑体_GBK" w:hAnsi="Times New Roman" w:eastAsia="方正黑体_GBK"/>
        </w:rPr>
      </w:pPr>
      <w:r>
        <w:rPr>
          <w:rFonts w:hint="eastAsia" w:ascii="仿宋" w:hAnsi="仿宋" w:eastAsia="仿宋" w:cs="仿宋"/>
        </w:rPr>
        <w:t>我镇党镇主要负责人切实履行推进法治建设第一责任人职责，不断强化镇党委的主角定位，始终把法治建设主体责任扛在肩上、抓在手上，落实到行动上。成立由镇党委书记任组长，分管领导任副组长，镇平安建设办、司法所和其他相关部门人员担任成员的拾万镇法治建设领导小组，带头信法、坚决守法、严格执法。</w:t>
      </w:r>
    </w:p>
    <w:p>
      <w:pPr>
        <w:spacing w:line="594" w:lineRule="exact"/>
        <w:ind w:firstLine="640" w:firstLineChars="200"/>
        <w:rPr>
          <w:rFonts w:ascii="方正楷体_GBK" w:hAnsi="方正楷体_GBK" w:eastAsia="方正楷体_GBK" w:cs="方正楷体_GBK"/>
        </w:rPr>
      </w:pPr>
      <w:r>
        <w:rPr>
          <w:rFonts w:hint="eastAsia" w:ascii="方正楷体_GBK" w:hAnsi="方正楷体_GBK" w:eastAsia="方正楷体_GBK" w:cs="方正楷体_GBK"/>
        </w:rPr>
        <w:t>（二）完善工作机制</w:t>
      </w:r>
    </w:p>
    <w:p>
      <w:pPr>
        <w:spacing w:line="594" w:lineRule="exact"/>
        <w:ind w:firstLine="640" w:firstLineChars="200"/>
        <w:rPr>
          <w:rFonts w:ascii="仿宋" w:hAnsi="仿宋" w:eastAsia="仿宋" w:cs="仿宋"/>
        </w:rPr>
      </w:pPr>
      <w:r>
        <w:rPr>
          <w:rFonts w:hint="eastAsia" w:ascii="仿宋" w:hAnsi="仿宋" w:eastAsia="仿宋" w:cs="仿宋"/>
        </w:rPr>
        <w:t>我镇将法制建设纳入发展总体规划和年度工作计划，经多次研讨制定了详尽的工作举措，明确了各责任科室任务要求，并把履行推进法制建设第一责任人职责情况列入年度述职述廉报告内容。</w:t>
      </w:r>
    </w:p>
    <w:p>
      <w:pPr>
        <w:spacing w:line="594" w:lineRule="exact"/>
        <w:ind w:firstLine="640" w:firstLineChars="200"/>
        <w:rPr>
          <w:rFonts w:ascii="方正黑体_GBK" w:hAnsi="Times New Roman" w:eastAsia="方正黑体_GBK"/>
        </w:rPr>
      </w:pPr>
      <w:r>
        <w:rPr>
          <w:rFonts w:hint="eastAsia" w:ascii="方正黑体_GBK" w:hAnsi="Times New Roman" w:eastAsia="方正黑体_GBK"/>
        </w:rPr>
        <w:t>三、存在的问题</w:t>
      </w:r>
    </w:p>
    <w:p>
      <w:pPr>
        <w:spacing w:line="594" w:lineRule="exact"/>
        <w:ind w:firstLine="640"/>
        <w:jc w:val="left"/>
        <w:rPr>
          <w:rFonts w:ascii="Times New Roman" w:hAnsi="Times New Roman"/>
          <w:shd w:val="clear" w:color="auto" w:fill="FFFFFF"/>
        </w:rPr>
      </w:pPr>
      <w:r>
        <w:rPr>
          <w:rFonts w:ascii="Times New Roman" w:hAnsi="Times New Roman" w:eastAsia="方正楷体_GBK"/>
          <w:shd w:val="clear" w:color="auto" w:fill="FFFFFF"/>
        </w:rPr>
        <w:t>（一）法制宣传教育开展不平衡。</w:t>
      </w:r>
      <w:r>
        <w:rPr>
          <w:rFonts w:ascii="Times New Roman" w:hAnsi="Times New Roman"/>
          <w:shd w:val="clear" w:color="auto" w:fill="FFFFFF"/>
        </w:rPr>
        <w:t>主要是：在农村大多数农村青壮年外出务工，留守在家的主要是“老弱病残、妇女、儿童”，普法教育组织难，时间难落实，效果不好。</w:t>
      </w:r>
    </w:p>
    <w:p>
      <w:pPr>
        <w:spacing w:line="594" w:lineRule="exact"/>
        <w:ind w:firstLine="640"/>
        <w:jc w:val="left"/>
        <w:rPr>
          <w:rFonts w:ascii="Times New Roman" w:hAnsi="Times New Roman"/>
          <w:shd w:val="clear" w:color="auto" w:fill="FFFFFF"/>
        </w:rPr>
      </w:pPr>
      <w:r>
        <w:rPr>
          <w:rFonts w:ascii="Times New Roman" w:hAnsi="Times New Roman" w:eastAsia="方正楷体_GBK"/>
          <w:shd w:val="clear" w:color="auto" w:fill="FFFFFF"/>
        </w:rPr>
        <w:t>（二）法制宣传阵地建设有待进一步加强。</w:t>
      </w:r>
      <w:r>
        <w:rPr>
          <w:rFonts w:ascii="Times New Roman" w:hAnsi="Times New Roman"/>
          <w:shd w:val="clear" w:color="auto" w:fill="FFFFFF"/>
        </w:rPr>
        <w:t>法制宣传教育的形式还不是很丰富，且形式单一；贴近实际、贴近生活、喜闻乐见的法制宣传文艺节目组织不够，也有待于进一步加强。</w:t>
      </w:r>
    </w:p>
    <w:p>
      <w:pPr>
        <w:spacing w:line="594" w:lineRule="exact"/>
        <w:ind w:firstLine="640" w:firstLineChars="200"/>
        <w:rPr>
          <w:rFonts w:ascii="方正黑体_GBK" w:hAnsi="方正黑体_GBK" w:eastAsia="方正黑体_GBK" w:cs="方正黑体_GBK"/>
        </w:rPr>
      </w:pPr>
      <w:r>
        <w:rPr>
          <w:rFonts w:hint="eastAsia" w:ascii="方正黑体_GBK" w:hAnsi="方正黑体_GBK" w:eastAsia="方正黑体_GBK" w:cs="方正黑体_GBK"/>
        </w:rPr>
        <w:t>四、2022年度推进法制建设的主要安排</w:t>
      </w:r>
    </w:p>
    <w:p>
      <w:pPr>
        <w:spacing w:line="594" w:lineRule="exact"/>
        <w:ind w:firstLine="640"/>
        <w:rPr>
          <w:rFonts w:ascii="Times New Roman" w:hAnsi="Times New Roman"/>
        </w:rPr>
      </w:pPr>
      <w:r>
        <w:rPr>
          <w:rFonts w:ascii="Times New Roman" w:hAnsi="Times New Roman" w:eastAsia="方正楷体_GBK"/>
        </w:rPr>
        <w:t>（一）深入学习践行习近平法治思想。</w:t>
      </w:r>
      <w:r>
        <w:rPr>
          <w:rFonts w:ascii="Times New Roman" w:hAnsi="Times New Roman"/>
        </w:rPr>
        <w:t>把深入</w:t>
      </w:r>
      <w:r>
        <w:rPr>
          <w:rFonts w:hint="eastAsia" w:ascii="Times New Roman" w:hAnsi="Times New Roman"/>
          <w:lang w:eastAsia="zh-CN"/>
        </w:rPr>
        <w:t>学习贯彻</w:t>
      </w:r>
      <w:r>
        <w:rPr>
          <w:rFonts w:ascii="Times New Roman" w:hAnsi="Times New Roman"/>
        </w:rPr>
        <w:t>习近平法治思想作为一项长期重大政治任务，切实增强法治思维和依法办事能力。</w:t>
      </w:r>
    </w:p>
    <w:p>
      <w:pPr>
        <w:spacing w:line="594" w:lineRule="exact"/>
        <w:ind w:firstLine="640" w:firstLineChars="200"/>
        <w:rPr>
          <w:rFonts w:ascii="Times New Roman" w:hAnsi="Times New Roman"/>
        </w:rPr>
      </w:pPr>
      <w:r>
        <w:rPr>
          <w:rFonts w:hint="eastAsia" w:ascii="方正楷体_GBK" w:hAnsi="方正楷体_GBK" w:eastAsia="方正楷体_GBK" w:cs="方正楷体_GBK"/>
        </w:rPr>
        <w:t>（二）全力保障经济高质量发展。</w:t>
      </w:r>
      <w:r>
        <w:rPr>
          <w:rFonts w:ascii="Times New Roman" w:hAnsi="Times New Roman"/>
        </w:rPr>
        <w:t>持续围绕全镇重大发展战略，积极有为服务保障发展；持续改善营商环境，依法严惩破坏市场竞争秩序、侵害市场主体合法权益犯罪，平等保护各类市场主体合法权益；加强平安联创、执法联动、司法协作、服务协同等方面加力推进法治一体化建设。</w:t>
      </w:r>
    </w:p>
    <w:p>
      <w:pPr>
        <w:spacing w:line="594" w:lineRule="exact"/>
        <w:ind w:firstLine="640"/>
        <w:rPr>
          <w:rFonts w:ascii="Times New Roman" w:hAnsi="Times New Roman"/>
        </w:rPr>
      </w:pPr>
      <w:r>
        <w:rPr>
          <w:rFonts w:hint="eastAsia" w:ascii="方正楷体_GBK" w:hAnsi="方正楷体_GBK" w:eastAsia="方正楷体_GBK" w:cs="方正楷体_GBK"/>
        </w:rPr>
        <w:t>（三）纵深推动全面依法治区各项工作。</w:t>
      </w:r>
      <w:r>
        <w:rPr>
          <w:rFonts w:ascii="Times New Roman" w:hAnsi="Times New Roman"/>
        </w:rPr>
        <w:t>在创新法制创新形式、加强法制宣传阵地建设持续用力，推进村（社区）公共法律服务落实到地，充分发挥人民调解在社会治理中的作用。始终把全面依法治区作为一项战略任务和关键性工程，一体推进法治</w:t>
      </w:r>
      <w:r>
        <w:rPr>
          <w:rFonts w:hint="eastAsia" w:ascii="Times New Roman" w:hAnsi="Times New Roman"/>
        </w:rPr>
        <w:t>拾万</w:t>
      </w:r>
      <w:r>
        <w:rPr>
          <w:rFonts w:ascii="Times New Roman" w:hAnsi="Times New Roman"/>
        </w:rPr>
        <w:t>、法治政府、法治社会建设。</w:t>
      </w:r>
    </w:p>
    <w:p>
      <w:pPr>
        <w:spacing w:line="594" w:lineRule="exact"/>
        <w:ind w:firstLine="640"/>
        <w:rPr>
          <w:rFonts w:ascii="Times New Roman" w:hAnsi="Times New Roman" w:eastAsia="方正楷体_GBK"/>
          <w:color w:val="C0504D" w:themeColor="accent2"/>
        </w:rPr>
      </w:pPr>
    </w:p>
    <w:p>
      <w:pPr>
        <w:spacing w:line="594" w:lineRule="exact"/>
        <w:ind w:firstLine="3840" w:firstLineChars="1200"/>
        <w:rPr>
          <w:rFonts w:ascii="Times New Roman" w:hAnsi="Times New Roman"/>
        </w:rPr>
      </w:pPr>
      <w:r>
        <w:rPr>
          <w:rFonts w:hint="eastAsia" w:ascii="方正仿宋_GBK" w:hAnsi="Times New Roman"/>
        </w:rPr>
        <w:t>重庆市大足区</w:t>
      </w:r>
      <w:r>
        <w:rPr>
          <w:rFonts w:hint="eastAsia" w:ascii="Times New Roman" w:hAnsi="Times New Roman"/>
        </w:rPr>
        <w:t>拾万镇人民政府</w:t>
      </w:r>
    </w:p>
    <w:p>
      <w:pPr>
        <w:spacing w:line="594" w:lineRule="exact"/>
        <w:ind w:firstLine="4480" w:firstLineChars="1400"/>
        <w:rPr>
          <w:rFonts w:ascii="方正仿宋_GBK" w:hAnsi="Times New Roman"/>
        </w:rPr>
      </w:pPr>
      <w:r>
        <w:rPr>
          <w:rFonts w:hint="eastAsia" w:ascii="方正仿宋_GBK" w:hAnsi="Times New Roman"/>
        </w:rPr>
        <w:t>2021年11月23日</w:t>
      </w:r>
    </w:p>
    <w:p>
      <w:pPr>
        <w:spacing w:line="594" w:lineRule="exact"/>
      </w:pPr>
    </w:p>
    <w:p>
      <w:pPr>
        <w:spacing w:line="594" w:lineRule="exact"/>
        <w:rPr>
          <w:rFonts w:ascii="Times New Roman" w:hAnsi="Times New Roman"/>
        </w:rPr>
      </w:pPr>
    </w:p>
    <w:p>
      <w:pPr>
        <w:spacing w:line="594" w:lineRule="exact"/>
        <w:rPr>
          <w:rFonts w:ascii="Times New Roman" w:hAnsi="Times New Roman"/>
        </w:rPr>
      </w:pPr>
    </w:p>
    <w:p>
      <w:pPr>
        <w:spacing w:line="594" w:lineRule="exact"/>
        <w:rPr>
          <w:rFonts w:ascii="Times New Roman" w:hAnsi="Times New Roman"/>
        </w:rPr>
      </w:pPr>
    </w:p>
    <w:p>
      <w:pPr>
        <w:spacing w:line="594" w:lineRule="exact"/>
        <w:rPr>
          <w:rFonts w:ascii="Times New Roman" w:hAnsi="Times New Roman"/>
        </w:rPr>
      </w:pPr>
    </w:p>
    <w:p>
      <w:pPr>
        <w:spacing w:line="594" w:lineRule="exact"/>
        <w:rPr>
          <w:rFonts w:ascii="Times New Roman" w:hAnsi="Times New Roman"/>
        </w:rPr>
      </w:pPr>
    </w:p>
    <w:p>
      <w:pPr>
        <w:spacing w:line="594" w:lineRule="exact"/>
        <w:rPr>
          <w:rFonts w:ascii="Times New Roman" w:hAnsi="Times New Roman"/>
        </w:rPr>
      </w:pPr>
    </w:p>
    <w:p>
      <w:pPr>
        <w:spacing w:line="594" w:lineRule="exact"/>
        <w:rPr>
          <w:rFonts w:ascii="Times New Roman" w:hAnsi="Times New Roman"/>
        </w:rPr>
      </w:pPr>
    </w:p>
    <w:p>
      <w:pPr>
        <w:spacing w:line="594" w:lineRule="exact"/>
        <w:rPr>
          <w:rFonts w:ascii="Times New Roman" w:hAnsi="Times New Roman"/>
        </w:rPr>
      </w:pPr>
    </w:p>
    <w:p>
      <w:pPr>
        <w:spacing w:line="580" w:lineRule="exact"/>
        <w:rPr>
          <w:rFonts w:ascii="Times New Roman" w:hAnsi="Times New Roman"/>
        </w:rPr>
      </w:pPr>
    </w:p>
    <w:p>
      <w:pPr>
        <w:spacing w:line="580" w:lineRule="exact"/>
        <w:rPr>
          <w:rFonts w:ascii="Times New Roman" w:hAnsi="Times New Roman"/>
        </w:rPr>
      </w:pPr>
    </w:p>
    <w:p>
      <w:pPr>
        <w:spacing w:line="580" w:lineRule="exact"/>
        <w:rPr>
          <w:rFonts w:ascii="Times New Roman" w:hAnsi="Times New Roman"/>
        </w:rPr>
      </w:pPr>
    </w:p>
    <w:p>
      <w:pPr>
        <w:spacing w:line="580" w:lineRule="exact"/>
        <w:rPr>
          <w:rFonts w:ascii="Times New Roman" w:hAnsi="Times New Roman"/>
        </w:rPr>
      </w:pPr>
    </w:p>
    <w:p>
      <w:pPr>
        <w:spacing w:line="580" w:lineRule="exact"/>
        <w:rPr>
          <w:rFonts w:ascii="Times New Roman" w:hAnsi="Times New Roman"/>
        </w:rPr>
      </w:pPr>
    </w:p>
    <w:p>
      <w:pPr>
        <w:spacing w:line="580" w:lineRule="exact"/>
        <w:rPr>
          <w:rFonts w:ascii="Times New Roman" w:hAnsi="Times New Roman"/>
        </w:rPr>
      </w:pPr>
    </w:p>
    <w:p>
      <w:pPr>
        <w:spacing w:line="580" w:lineRule="exact"/>
        <w:rPr>
          <w:rFonts w:ascii="Times New Roman" w:hAnsi="Times New Roman"/>
        </w:rPr>
      </w:pPr>
    </w:p>
    <w:p>
      <w:pPr>
        <w:spacing w:line="140" w:lineRule="exact"/>
        <w:rPr>
          <w:rFonts w:ascii="Times New Roman" w:hAnsi="Times New Roman"/>
        </w:rPr>
      </w:pPr>
    </w:p>
    <w:p>
      <w:pPr>
        <w:spacing w:line="140" w:lineRule="exact"/>
        <w:rPr>
          <w:rFonts w:ascii="Times New Roman" w:hAnsi="Times New Roman"/>
        </w:rPr>
      </w:pPr>
    </w:p>
    <w:p>
      <w:pPr>
        <w:spacing w:line="140" w:lineRule="exact"/>
        <w:rPr>
          <w:rFonts w:ascii="Times New Roman" w:hAnsi="Times New Roman"/>
        </w:rPr>
      </w:pPr>
    </w:p>
    <w:p>
      <w:pPr>
        <w:spacing w:line="140" w:lineRule="exact"/>
        <w:rPr>
          <w:rFonts w:ascii="Times New Roman" w:hAnsi="Times New Roman"/>
        </w:rPr>
      </w:pPr>
    </w:p>
    <w:p>
      <w:pPr>
        <w:pBdr>
          <w:bottom w:val="single" w:color="auto" w:sz="6" w:space="1"/>
        </w:pBdr>
        <w:spacing w:line="140" w:lineRule="exact"/>
        <w:rPr>
          <w:rFonts w:ascii="Times New Roman" w:hAnsi="Times New Roman"/>
        </w:rPr>
      </w:pPr>
    </w:p>
    <w:p>
      <w:pPr>
        <w:spacing w:line="594" w:lineRule="exact"/>
        <w:ind w:firstLine="560" w:firstLineChars="200"/>
        <w:rPr>
          <w:rFonts w:ascii="方正仿宋_GBK" w:hAnsiTheme="minorEastAsia" w:cstheme="minorEastAsia"/>
          <w:sz w:val="28"/>
          <w:szCs w:val="28"/>
        </w:rPr>
      </w:pPr>
      <w:r>
        <w:rPr>
          <w:rFonts w:hint="eastAsia" w:ascii="方正仿宋_GBK" w:hAnsiTheme="minorEastAsia" w:cstheme="minorEastAsia"/>
          <w:sz w:val="28"/>
          <w:szCs w:val="28"/>
        </w:rPr>
        <w:t>抄 送：区委依法治区办</w:t>
      </w:r>
    </w:p>
    <w:p>
      <w:pPr>
        <w:pBdr>
          <w:top w:val="single" w:color="auto" w:sz="4" w:space="0"/>
          <w:bottom w:val="single" w:color="auto" w:sz="4" w:space="0"/>
        </w:pBdr>
        <w:spacing w:line="580" w:lineRule="exact"/>
        <w:ind w:firstLine="560" w:firstLineChars="200"/>
        <w:rPr>
          <w:rFonts w:ascii="方正仿宋_GBK" w:hAnsiTheme="minorEastAsia" w:cstheme="minorEastAsia"/>
          <w:sz w:val="28"/>
          <w:szCs w:val="28"/>
        </w:rPr>
      </w:pPr>
      <w:r>
        <w:rPr>
          <w:rFonts w:hint="eastAsia" w:ascii="方正仿宋_GBK" w:hAnsiTheme="minorEastAsia" w:cstheme="minorEastAsia"/>
          <w:sz w:val="28"/>
          <w:szCs w:val="28"/>
        </w:rPr>
        <w:t>重庆市大足区拾万镇党政办公室    2021年11月23日印发</w:t>
      </w:r>
    </w:p>
    <w:sectPr>
      <w:footerReference r:id="rId3" w:type="default"/>
      <w:footerReference r:id="rId4" w:type="even"/>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仿宋_GBK">
    <w:altName w:val="微软雅黑"/>
    <w:panose1 w:val="03000509000000000000"/>
    <w:charset w:val="86"/>
    <w:family w:val="script"/>
    <w:pitch w:val="default"/>
    <w:sig w:usb0="00000000" w:usb1="00000000" w:usb2="00000010" w:usb3="00000000" w:csb0="00040000" w:csb1="00000000"/>
  </w:font>
  <w:font w:name="方正小标宋_GBK">
    <w:altName w:val="微软雅黑"/>
    <w:panose1 w:val="03000509000000000000"/>
    <w:charset w:val="86"/>
    <w:family w:val="script"/>
    <w:pitch w:val="default"/>
    <w:sig w:usb0="00000000" w:usb1="00000000" w:usb2="00000010" w:usb3="00000000" w:csb0="00040000" w:csb1="00000000"/>
  </w:font>
  <w:font w:name="方正黑体_GBK">
    <w:altName w:val="微软雅黑"/>
    <w:panose1 w:val="03000509000000000000"/>
    <w:charset w:val="86"/>
    <w:family w:val="script"/>
    <w:pitch w:val="default"/>
    <w:sig w:usb0="00000000" w:usb1="00000000" w:usb2="00000010" w:usb3="00000000" w:csb0="00040000" w:csb1="00000000"/>
  </w:font>
  <w:font w:name="方正楷体_GBK">
    <w:altName w:val="微软雅黑"/>
    <w:panose1 w:val="03000509000000000000"/>
    <w:charset w:val="86"/>
    <w:family w:val="script"/>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40042296"/>
      <w:docPartObj>
        <w:docPartGallery w:val="autotext"/>
      </w:docPartObj>
    </w:sdtPr>
    <w:sdtContent>
      <w:p>
        <w:pPr>
          <w:pStyle w:val="2"/>
          <w:jc w:val="right"/>
        </w:pPr>
        <w:r>
          <w:rPr>
            <w:rFonts w:asciiTheme="minorEastAsia" w:hAnsiTheme="minorEastAsia" w:eastAsiaTheme="minorEastAsia"/>
            <w:sz w:val="28"/>
            <w:szCs w:val="28"/>
          </w:rPr>
          <w:fldChar w:fldCharType="begin"/>
        </w:r>
        <w:r>
          <w:rPr>
            <w:rFonts w:asciiTheme="minorEastAsia" w:hAnsiTheme="minorEastAsia" w:eastAsiaTheme="minorEastAsia"/>
            <w:sz w:val="28"/>
            <w:szCs w:val="28"/>
          </w:rPr>
          <w:instrText xml:space="preserve"> PAGE   \* MERGEFORMAT </w:instrText>
        </w:r>
        <w:r>
          <w:rPr>
            <w:rFonts w:asciiTheme="minorEastAsia" w:hAnsiTheme="minorEastAsia" w:eastAsiaTheme="minorEastAsia"/>
            <w:sz w:val="28"/>
            <w:szCs w:val="28"/>
          </w:rPr>
          <w:fldChar w:fldCharType="separate"/>
        </w:r>
        <w:r>
          <w:rPr>
            <w:rFonts w:asciiTheme="minorEastAsia" w:hAnsiTheme="minorEastAsia" w:eastAsiaTheme="minorEastAsia"/>
            <w:sz w:val="28"/>
            <w:szCs w:val="28"/>
            <w:lang w:val="zh-CN"/>
          </w:rPr>
          <w:t>-</w:t>
        </w:r>
        <w:r>
          <w:rPr>
            <w:rFonts w:asciiTheme="minorEastAsia" w:hAnsiTheme="minorEastAsia" w:eastAsiaTheme="minorEastAsia"/>
            <w:sz w:val="28"/>
            <w:szCs w:val="28"/>
          </w:rPr>
          <w:t xml:space="preserve"> 1 -</w:t>
        </w:r>
        <w:r>
          <w:rPr>
            <w:rFonts w:asciiTheme="minorEastAsia" w:hAnsiTheme="minorEastAsia" w:eastAsiaTheme="minorEastAsia"/>
            <w:sz w:val="28"/>
            <w:szCs w:val="28"/>
          </w:rPr>
          <w:fldChar w:fldCharType="end"/>
        </w:r>
      </w:p>
    </w:sdtContent>
  </w:sdt>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40042298"/>
      <w:docPartObj>
        <w:docPartGallery w:val="autotext"/>
      </w:docPartObj>
    </w:sdtPr>
    <w:sdtContent>
      <w:p>
        <w:pPr>
          <w:pStyle w:val="2"/>
        </w:pPr>
        <w:r>
          <w:fldChar w:fldCharType="begin"/>
        </w:r>
        <w:r>
          <w:instrText xml:space="preserve"> PAGE   \* MERGEFORMAT </w:instrText>
        </w:r>
        <w:r>
          <w:fldChar w:fldCharType="separate"/>
        </w:r>
        <w:r>
          <w:rPr>
            <w:rFonts w:asciiTheme="minorEastAsia" w:hAnsiTheme="minorEastAsia" w:eastAsiaTheme="minorEastAsia"/>
            <w:sz w:val="28"/>
            <w:szCs w:val="28"/>
            <w:lang w:val="zh-CN"/>
          </w:rPr>
          <w:t>-</w:t>
        </w:r>
        <w:r>
          <w:rPr>
            <w:rFonts w:asciiTheme="minorEastAsia" w:hAnsiTheme="minorEastAsia" w:eastAsiaTheme="minorEastAsia"/>
            <w:sz w:val="28"/>
            <w:szCs w:val="28"/>
          </w:rPr>
          <w:t xml:space="preserve"> 6 -</w:t>
        </w:r>
        <w:r>
          <w:rPr>
            <w:rFonts w:asciiTheme="minorEastAsia" w:hAnsiTheme="minorEastAsia" w:eastAsiaTheme="minorEastAsia"/>
            <w:sz w:val="28"/>
            <w:szCs w:val="28"/>
          </w:rPr>
          <w:fldChar w:fldCharType="end"/>
        </w:r>
      </w:p>
    </w:sdtContent>
  </w:sdt>
  <w:p>
    <w:pPr>
      <w:pStyle w:val="2"/>
      <w:rPr>
        <w:rFonts w:asciiTheme="minorEastAsia" w:hAnsiTheme="minorEastAsia" w:eastAsiaTheme="minorEastAsia" w:cstheme="minor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evenAndOddHeaders w:val="1"/>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Nzk5MzQ5NmFiYWNmZTFhMGMzODI1M2VjMjRiODkzZjQifQ=="/>
  </w:docVars>
  <w:rsids>
    <w:rsidRoot w:val="003E331E"/>
    <w:rsid w:val="00222AD9"/>
    <w:rsid w:val="002A4024"/>
    <w:rsid w:val="003E331E"/>
    <w:rsid w:val="00476D53"/>
    <w:rsid w:val="00561ECB"/>
    <w:rsid w:val="005B0A8E"/>
    <w:rsid w:val="00793D04"/>
    <w:rsid w:val="009A1F60"/>
    <w:rsid w:val="00C01A07"/>
    <w:rsid w:val="00CF5074"/>
    <w:rsid w:val="00D25F8E"/>
    <w:rsid w:val="00D34148"/>
    <w:rsid w:val="01671BDD"/>
    <w:rsid w:val="018354D6"/>
    <w:rsid w:val="01FE17DD"/>
    <w:rsid w:val="0234447D"/>
    <w:rsid w:val="0328539C"/>
    <w:rsid w:val="03FD4132"/>
    <w:rsid w:val="05C56ED2"/>
    <w:rsid w:val="063F5C36"/>
    <w:rsid w:val="065E7EA7"/>
    <w:rsid w:val="06B9361D"/>
    <w:rsid w:val="081D2FF5"/>
    <w:rsid w:val="08DF64FD"/>
    <w:rsid w:val="09063A89"/>
    <w:rsid w:val="0A8A2498"/>
    <w:rsid w:val="0A8E3D8F"/>
    <w:rsid w:val="0C956B04"/>
    <w:rsid w:val="0E3E3CC5"/>
    <w:rsid w:val="17E07B9B"/>
    <w:rsid w:val="19197809"/>
    <w:rsid w:val="1E702B70"/>
    <w:rsid w:val="20126D60"/>
    <w:rsid w:val="20E82915"/>
    <w:rsid w:val="21F450F9"/>
    <w:rsid w:val="24D92235"/>
    <w:rsid w:val="25676AC3"/>
    <w:rsid w:val="285D2B42"/>
    <w:rsid w:val="29C54E43"/>
    <w:rsid w:val="29F711D9"/>
    <w:rsid w:val="2B76644C"/>
    <w:rsid w:val="2BC03BF1"/>
    <w:rsid w:val="2BC3384A"/>
    <w:rsid w:val="2D157E8F"/>
    <w:rsid w:val="2E5C5D76"/>
    <w:rsid w:val="2F68177C"/>
    <w:rsid w:val="31C53C32"/>
    <w:rsid w:val="342F247D"/>
    <w:rsid w:val="35F42D38"/>
    <w:rsid w:val="392C0A3B"/>
    <w:rsid w:val="3A841927"/>
    <w:rsid w:val="3B447F59"/>
    <w:rsid w:val="3D7E738B"/>
    <w:rsid w:val="3E9F20A1"/>
    <w:rsid w:val="4343010E"/>
    <w:rsid w:val="43AA712C"/>
    <w:rsid w:val="444E7AB7"/>
    <w:rsid w:val="45390767"/>
    <w:rsid w:val="46CA37DB"/>
    <w:rsid w:val="49B840C3"/>
    <w:rsid w:val="49FF36AE"/>
    <w:rsid w:val="4C840004"/>
    <w:rsid w:val="4C8F5111"/>
    <w:rsid w:val="4E600C78"/>
    <w:rsid w:val="4F311F6A"/>
    <w:rsid w:val="52A122EE"/>
    <w:rsid w:val="54692920"/>
    <w:rsid w:val="5806082A"/>
    <w:rsid w:val="587C29ED"/>
    <w:rsid w:val="5B4E4C35"/>
    <w:rsid w:val="5C243A18"/>
    <w:rsid w:val="5DF63241"/>
    <w:rsid w:val="5E767EDE"/>
    <w:rsid w:val="6837007E"/>
    <w:rsid w:val="698F0A9A"/>
    <w:rsid w:val="6A08235C"/>
    <w:rsid w:val="6BAC13E3"/>
    <w:rsid w:val="72C26316"/>
    <w:rsid w:val="732F5F7D"/>
    <w:rsid w:val="743F1E49"/>
    <w:rsid w:val="751D1915"/>
    <w:rsid w:val="7736623E"/>
    <w:rsid w:val="781316BF"/>
    <w:rsid w:val="79052133"/>
    <w:rsid w:val="7A7E1479"/>
    <w:rsid w:val="7C2C415B"/>
    <w:rsid w:val="7D2619D8"/>
    <w:rsid w:val="7D985324"/>
    <w:rsid w:val="7F361773"/>
    <w:rsid w:val="ED77B59A"/>
    <w:rsid w:val="F7FF98CB"/>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方正仿宋_GBK" w:cs="Times New Roman"/>
      <w:kern w:val="2"/>
      <w:sz w:val="32"/>
      <w:szCs w:val="3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6"/>
    <w:unhideWhenUsed/>
    <w:uiPriority w:val="99"/>
    <w:pPr>
      <w:tabs>
        <w:tab w:val="center" w:pos="4153"/>
        <w:tab w:val="right" w:pos="8306"/>
      </w:tabs>
      <w:snapToGrid w:val="0"/>
      <w:jc w:val="left"/>
    </w:pPr>
    <w:rPr>
      <w:sz w:val="18"/>
    </w:rPr>
  </w:style>
  <w:style w:type="paragraph" w:styleId="3">
    <w:name w:val="header"/>
    <w:basedOn w:val="1"/>
    <w:semiHidden/>
    <w:unhideWhenUsed/>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character" w:customStyle="1" w:styleId="6">
    <w:name w:val="页脚 Char"/>
    <w:basedOn w:val="5"/>
    <w:link w:val="2"/>
    <w:uiPriority w:val="99"/>
    <w:rPr>
      <w:rFonts w:ascii="Calibri" w:hAnsi="Calibri" w:eastAsia="方正仿宋_GBK"/>
      <w:kern w:val="2"/>
      <w:sz w:val="18"/>
      <w:szCs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Company>微软中国</Company>
  <Pages>6</Pages>
  <Words>2538</Words>
  <Characters>2597</Characters>
  <Lines>19</Lines>
  <Paragraphs>5</Paragraphs>
  <TotalTime>29</TotalTime>
  <ScaleCrop>false</ScaleCrop>
  <LinksUpToDate>false</LinksUpToDate>
  <CharactersWithSpaces>2604</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2021-11-15T18:05:00Z</dcterms:created>
  <dc:creator>admin</dc:creator>
  <cp:lastModifiedBy>Lucy</cp:lastModifiedBy>
  <cp:lastPrinted>2021-11-23T16:40:00Z</cp:lastPrinted>
  <dcterms:modified xsi:type="dcterms:W3CDTF">2023-07-17T09:54:58Z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BA198B7C7C0C463B8C856545A8B119A7</vt:lpwstr>
  </property>
</Properties>
</file>