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D6FE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重庆市大足区国梁镇退役军人服务站</w:t>
      </w:r>
    </w:p>
    <w:p w14:paraId="238C93A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2023年度决算公开说明</w:t>
      </w:r>
    </w:p>
    <w:p w14:paraId="0ABBF29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rPr>
      </w:pPr>
    </w:p>
    <w:p w14:paraId="5A2CBCB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一、单位基本情况</w:t>
      </w:r>
    </w:p>
    <w:p w14:paraId="6CD6C0D1">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（一）职能职责</w:t>
      </w:r>
    </w:p>
    <w:p w14:paraId="39D88B8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协调落实就业创业、优抚帮扶、权益保障、数据信息采集等工作，组织实施退役军人适应性培训和职业教育、技能培训。协助做好本辖区内退役军人组织关系、行政关系、供给关系转接和档案移交，退役军人党员摸排登记等工作，协助基层党组织做好党员教育管理服务工作。协助做好涉及退役军人和其他优抚对象的信访接待工作，落实信访事项首办责任。常态化开展精准帮扶援助、化解矛盾和思想稳定工作，把党和政府的关怀温暖传递给每一位退役军人。搭建政策咨询、沟通联系、学习交流等活动场所。结合特定节日及退役军人和其他优抚对象出现重大变故等情况，及时开展走访慰问。全面摸清、动态掌握、及时报告辖区内退役军人和其他优抚对象思想状况、家庭生活情况和相关政策落实情况。</w:t>
      </w:r>
    </w:p>
    <w:p w14:paraId="6114AC2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（二）机构设置</w:t>
      </w:r>
    </w:p>
    <w:p w14:paraId="0D3ED201">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机构数上年度</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个，本年度</w:t>
      </w:r>
      <w:r>
        <w:rPr>
          <w:rFonts w:hint="eastAsia"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个。</w:t>
      </w:r>
    </w:p>
    <w:p w14:paraId="560E26A9">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二、单位决算情况说明</w:t>
      </w:r>
    </w:p>
    <w:p w14:paraId="44B3AB59">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rPr>
      </w:pPr>
      <w:r>
        <w:rPr>
          <w:rFonts w:hint="eastAsia" w:ascii="方正楷体_GBK" w:hAnsi="方正楷体_GBK" w:eastAsia="方正楷体_GBK" w:cs="方正楷体_GBK"/>
          <w:sz w:val="32"/>
          <w:szCs w:val="32"/>
        </w:rPr>
        <w:t>（一）收入支出决算总体情况说明。</w:t>
      </w:r>
    </w:p>
    <w:p w14:paraId="0D66A714">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方正仿宋_GBK" w:hAnsi="方正仿宋_GBK" w:eastAsia="方正仿宋_GBK" w:cs="方正仿宋_GBK"/>
          <w:sz w:val="32"/>
          <w:szCs w:val="32"/>
        </w:rPr>
      </w:pPr>
      <w:r>
        <w:rPr>
          <w:rFonts w:hint="eastAsia" w:ascii="Times New Roman" w:hAnsi="Times New Roman" w:eastAsia="方正仿宋_GBK" w:cs="Times New Roman"/>
          <w:b/>
          <w:bCs/>
          <w:sz w:val="32"/>
          <w:szCs w:val="32"/>
        </w:rPr>
        <w:t>1.总体情况。</w:t>
      </w:r>
      <w:r>
        <w:rPr>
          <w:rFonts w:hint="default"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年度收入总计</w:t>
      </w:r>
      <w:r>
        <w:rPr>
          <w:rFonts w:hint="eastAsia" w:ascii="Times New Roman" w:hAnsi="Times New Roman" w:eastAsia="方正仿宋_GBK" w:cs="Times New Roman"/>
          <w:sz w:val="32"/>
          <w:szCs w:val="32"/>
        </w:rPr>
        <w:t>30.16</w:t>
      </w:r>
      <w:r>
        <w:rPr>
          <w:rFonts w:hint="eastAsia" w:ascii="方正仿宋_GBK" w:hAnsi="方正仿宋_GBK" w:eastAsia="方正仿宋_GBK" w:cs="方正仿宋_GBK"/>
          <w:sz w:val="32"/>
          <w:szCs w:val="32"/>
        </w:rPr>
        <w:t>万元，支出总计</w:t>
      </w:r>
      <w:r>
        <w:rPr>
          <w:rFonts w:hint="eastAsia" w:ascii="Times New Roman" w:hAnsi="Times New Roman" w:eastAsia="方正仿宋_GBK" w:cs="Times New Roman"/>
          <w:sz w:val="32"/>
          <w:szCs w:val="32"/>
        </w:rPr>
        <w:t>30.16</w:t>
      </w:r>
      <w:r>
        <w:rPr>
          <w:rFonts w:hint="eastAsia" w:ascii="方正仿宋_GBK" w:hAnsi="方正仿宋_GBK" w:eastAsia="方正仿宋_GBK" w:cs="方正仿宋_GBK"/>
          <w:sz w:val="32"/>
          <w:szCs w:val="32"/>
        </w:rPr>
        <w:t>万元。收支较上年决算数增加</w:t>
      </w:r>
      <w:r>
        <w:rPr>
          <w:rFonts w:hint="eastAsia" w:ascii="Times New Roman" w:hAnsi="Times New Roman" w:eastAsia="方正仿宋_GBK" w:cs="Times New Roman"/>
          <w:sz w:val="32"/>
          <w:szCs w:val="32"/>
        </w:rPr>
        <w:t>30.16</w:t>
      </w:r>
      <w:r>
        <w:rPr>
          <w:rFonts w:hint="eastAsia" w:ascii="方正仿宋_GBK" w:hAnsi="方正仿宋_GBK" w:eastAsia="方正仿宋_GBK" w:cs="方正仿宋_GBK"/>
          <w:sz w:val="32"/>
          <w:szCs w:val="32"/>
        </w:rPr>
        <w:t>万元，增长</w:t>
      </w:r>
      <w:r>
        <w:rPr>
          <w:rFonts w:hint="eastAsia" w:ascii="Times New Roman" w:hAnsi="Times New Roman" w:eastAsia="方正仿宋_GBK" w:cs="Times New Roman"/>
          <w:sz w:val="32"/>
          <w:szCs w:val="32"/>
        </w:rPr>
        <w:t>100.00%</w:t>
      </w:r>
      <w:r>
        <w:rPr>
          <w:rFonts w:hint="eastAsia" w:ascii="方正仿宋_GBK" w:hAnsi="方正仿宋_GBK" w:eastAsia="方正仿宋_GBK" w:cs="方正仿宋_GBK"/>
          <w:sz w:val="32"/>
          <w:szCs w:val="32"/>
        </w:rPr>
        <w:t>，主要原因是</w:t>
      </w:r>
      <w:r>
        <w:rPr>
          <w:rFonts w:hint="eastAsia" w:ascii="Times New Roman" w:hAnsi="Times New Roman" w:eastAsia="方正仿宋_GBK" w:cs="Times New Roman"/>
          <w:sz w:val="32"/>
          <w:szCs w:val="32"/>
        </w:rPr>
        <w:t>2022年</w:t>
      </w:r>
      <w:r>
        <w:rPr>
          <w:rFonts w:hint="eastAsia" w:ascii="方正仿宋_GBK" w:hAnsi="方正仿宋_GBK" w:eastAsia="方正仿宋_GBK" w:cs="方正仿宋_GBK"/>
          <w:sz w:val="32"/>
          <w:szCs w:val="32"/>
        </w:rPr>
        <w:t>为合并报表，</w:t>
      </w:r>
      <w:r>
        <w:rPr>
          <w:rFonts w:hint="eastAsia"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年事业单位分开填报。</w:t>
      </w:r>
    </w:p>
    <w:p w14:paraId="52D023A4">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b/>
          <w:bCs/>
          <w:sz w:val="32"/>
          <w:szCs w:val="32"/>
        </w:rPr>
        <w:t>2.收入情况。</w:t>
      </w:r>
      <w:r>
        <w:rPr>
          <w:rFonts w:hint="eastAsia" w:ascii="Times New Roman" w:hAnsi="Times New Roman" w:eastAsia="方正仿宋_GBK" w:cs="Times New Roman"/>
          <w:sz w:val="32"/>
          <w:szCs w:val="32"/>
        </w:rPr>
        <w:t>2023年度收入合计30.16万</w:t>
      </w:r>
      <w:r>
        <w:rPr>
          <w:rFonts w:hint="eastAsia" w:ascii="方正仿宋_GBK" w:hAnsi="方正仿宋_GBK" w:eastAsia="方正仿宋_GBK" w:cs="方正仿宋_GBK"/>
          <w:sz w:val="32"/>
          <w:szCs w:val="32"/>
        </w:rPr>
        <w:t>元，较上年决算数增加</w:t>
      </w:r>
      <w:r>
        <w:rPr>
          <w:rFonts w:hint="eastAsia" w:ascii="Times New Roman" w:hAnsi="Times New Roman" w:eastAsia="方正仿宋_GBK" w:cs="Times New Roman"/>
          <w:sz w:val="32"/>
          <w:szCs w:val="32"/>
        </w:rPr>
        <w:t>30.16万元，增长100.00%，</w:t>
      </w:r>
      <w:r>
        <w:rPr>
          <w:rFonts w:hint="eastAsia" w:ascii="方正仿宋_GBK" w:hAnsi="方正仿宋_GBK" w:eastAsia="方正仿宋_GBK" w:cs="方正仿宋_GBK"/>
          <w:sz w:val="32"/>
          <w:szCs w:val="32"/>
        </w:rPr>
        <w:t>其中：财政拨款收入</w:t>
      </w:r>
      <w:r>
        <w:rPr>
          <w:rFonts w:hint="eastAsia" w:ascii="Times New Roman" w:hAnsi="Times New Roman" w:eastAsia="方正仿宋_GBK" w:cs="Times New Roman"/>
          <w:sz w:val="32"/>
          <w:szCs w:val="32"/>
        </w:rPr>
        <w:t>30.16万元</w:t>
      </w:r>
      <w:r>
        <w:rPr>
          <w:rFonts w:hint="eastAsia" w:ascii="方正仿宋_GBK" w:hAnsi="方正仿宋_GBK" w:eastAsia="方正仿宋_GBK" w:cs="方正仿宋_GBK"/>
          <w:sz w:val="32"/>
          <w:szCs w:val="32"/>
        </w:rPr>
        <w:t>，</w:t>
      </w:r>
      <w:r>
        <w:rPr>
          <w:rFonts w:hint="eastAsia" w:ascii="Times New Roman" w:hAnsi="Times New Roman" w:eastAsia="方正仿宋_GBK" w:cs="Times New Roman"/>
          <w:sz w:val="32"/>
          <w:szCs w:val="32"/>
        </w:rPr>
        <w:t>占100.00%；事业收入0.00万元，占0.00%；经营收入0.00万元，占0.00%；其他收入0.00万元，占0.00%。</w:t>
      </w:r>
      <w:r>
        <w:rPr>
          <w:rFonts w:hint="eastAsia" w:ascii="方正仿宋_GBK" w:hAnsi="方正仿宋_GBK" w:eastAsia="方正仿宋_GBK" w:cs="方正仿宋_GBK"/>
          <w:sz w:val="32"/>
          <w:szCs w:val="32"/>
        </w:rPr>
        <w:t>此外，使用非财政拨款结余和专用结</w:t>
      </w:r>
      <w:r>
        <w:rPr>
          <w:rFonts w:hint="eastAsia" w:ascii="Times New Roman" w:hAnsi="Times New Roman" w:eastAsia="方正仿宋_GBK" w:cs="Times New Roman"/>
          <w:sz w:val="32"/>
          <w:szCs w:val="32"/>
        </w:rPr>
        <w:t>余0.00万元，年</w:t>
      </w:r>
      <w:r>
        <w:rPr>
          <w:rFonts w:hint="eastAsia" w:ascii="方正仿宋_GBK" w:hAnsi="方正仿宋_GBK" w:eastAsia="方正仿宋_GBK" w:cs="方正仿宋_GBK"/>
          <w:sz w:val="32"/>
          <w:szCs w:val="32"/>
        </w:rPr>
        <w:t>初结转和结</w:t>
      </w:r>
      <w:r>
        <w:rPr>
          <w:rFonts w:hint="eastAsia" w:ascii="Times New Roman" w:hAnsi="Times New Roman" w:eastAsia="方正仿宋_GBK" w:cs="Times New Roman"/>
          <w:sz w:val="32"/>
          <w:szCs w:val="32"/>
        </w:rPr>
        <w:t>余0.00万元</w:t>
      </w:r>
      <w:r>
        <w:rPr>
          <w:rFonts w:hint="eastAsia" w:ascii="方正仿宋_GBK" w:hAnsi="方正仿宋_GBK" w:eastAsia="方正仿宋_GBK" w:cs="方正仿宋_GBK"/>
          <w:sz w:val="32"/>
          <w:szCs w:val="32"/>
        </w:rPr>
        <w:t>。</w:t>
      </w:r>
    </w:p>
    <w:p w14:paraId="660E1958">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b/>
          <w:bCs/>
          <w:sz w:val="32"/>
          <w:szCs w:val="32"/>
        </w:rPr>
        <w:t>3.支出情况。</w:t>
      </w:r>
      <w:r>
        <w:rPr>
          <w:rFonts w:hint="default" w:ascii="Times New Roman" w:hAnsi="Times New Roman" w:eastAsia="方正仿宋_GBK" w:cs="Times New Roman"/>
          <w:sz w:val="32"/>
          <w:szCs w:val="32"/>
        </w:rPr>
        <w:t>2023</w:t>
      </w:r>
      <w:r>
        <w:rPr>
          <w:rFonts w:hint="eastAsia" w:ascii="Times New Roman" w:hAnsi="Times New Roman" w:eastAsia="方正仿宋_GBK" w:cs="Times New Roman"/>
          <w:sz w:val="32"/>
          <w:szCs w:val="32"/>
        </w:rPr>
        <w:t>年度支出合计30.16</w:t>
      </w:r>
      <w:r>
        <w:rPr>
          <w:rFonts w:hint="eastAsia" w:ascii="方正仿宋_GBK" w:hAnsi="方正仿宋_GBK" w:eastAsia="方正仿宋_GBK" w:cs="方正仿宋_GBK"/>
          <w:sz w:val="32"/>
          <w:szCs w:val="32"/>
        </w:rPr>
        <w:t>万元，较上年决算数增</w:t>
      </w:r>
      <w:r>
        <w:rPr>
          <w:rFonts w:hint="eastAsia" w:ascii="Times New Roman" w:hAnsi="Times New Roman" w:eastAsia="方正仿宋_GBK" w:cs="Times New Roman"/>
          <w:sz w:val="32"/>
          <w:szCs w:val="32"/>
        </w:rPr>
        <w:t>加30.16万元，增长100.00%</w:t>
      </w:r>
      <w:r>
        <w:rPr>
          <w:rFonts w:hint="eastAsia" w:ascii="方正仿宋_GBK" w:hAnsi="方正仿宋_GBK" w:eastAsia="方正仿宋_GBK" w:cs="方正仿宋_GBK"/>
          <w:sz w:val="32"/>
          <w:szCs w:val="32"/>
        </w:rPr>
        <w:t>，其中：基</w:t>
      </w:r>
      <w:r>
        <w:rPr>
          <w:rFonts w:hint="eastAsia" w:ascii="Times New Roman" w:hAnsi="Times New Roman" w:eastAsia="方正仿宋_GBK" w:cs="Times New Roman"/>
          <w:sz w:val="32"/>
          <w:szCs w:val="32"/>
        </w:rPr>
        <w:t>本支出30.16万元</w:t>
      </w:r>
      <w:r>
        <w:rPr>
          <w:rFonts w:hint="eastAsia" w:ascii="方正仿宋_GBK" w:hAnsi="方正仿宋_GBK" w:eastAsia="方正仿宋_GBK" w:cs="方正仿宋_GBK"/>
          <w:sz w:val="32"/>
          <w:szCs w:val="32"/>
        </w:rPr>
        <w:t>，占</w:t>
      </w:r>
      <w:r>
        <w:rPr>
          <w:rFonts w:hint="eastAsia" w:ascii="Times New Roman" w:hAnsi="Times New Roman" w:eastAsia="方正仿宋_GBK" w:cs="Times New Roman"/>
          <w:sz w:val="32"/>
          <w:szCs w:val="32"/>
        </w:rPr>
        <w:t>100.00%</w:t>
      </w:r>
      <w:r>
        <w:rPr>
          <w:rFonts w:hint="eastAsia" w:ascii="方正仿宋_GBK" w:hAnsi="方正仿宋_GBK" w:eastAsia="方正仿宋_GBK" w:cs="方正仿宋_GBK"/>
          <w:sz w:val="32"/>
          <w:szCs w:val="32"/>
        </w:rPr>
        <w:t>；项目支</w:t>
      </w:r>
      <w:r>
        <w:rPr>
          <w:rFonts w:hint="eastAsia" w:ascii="Times New Roman" w:hAnsi="Times New Roman" w:eastAsia="方正仿宋_GBK" w:cs="Times New Roman"/>
          <w:sz w:val="32"/>
          <w:szCs w:val="32"/>
        </w:rPr>
        <w:t>出0.00万</w:t>
      </w:r>
      <w:r>
        <w:rPr>
          <w:rFonts w:hint="eastAsia" w:ascii="方正仿宋_GBK" w:hAnsi="方正仿宋_GBK" w:eastAsia="方正仿宋_GBK" w:cs="方正仿宋_GBK"/>
          <w:sz w:val="32"/>
          <w:szCs w:val="32"/>
        </w:rPr>
        <w:t>元，占</w:t>
      </w:r>
      <w:r>
        <w:rPr>
          <w:rFonts w:hint="eastAsia" w:ascii="Times New Roman" w:hAnsi="Times New Roman" w:eastAsia="方正仿宋_GBK" w:cs="Times New Roman"/>
          <w:sz w:val="32"/>
          <w:szCs w:val="32"/>
        </w:rPr>
        <w:t>0.00%</w:t>
      </w:r>
      <w:r>
        <w:rPr>
          <w:rFonts w:hint="eastAsia" w:ascii="方正仿宋_GBK" w:hAnsi="方正仿宋_GBK" w:eastAsia="方正仿宋_GBK" w:cs="方正仿宋_GBK"/>
          <w:sz w:val="32"/>
          <w:szCs w:val="32"/>
        </w:rPr>
        <w:t>；经营</w:t>
      </w:r>
      <w:r>
        <w:rPr>
          <w:rFonts w:hint="eastAsia" w:ascii="Times New Roman" w:hAnsi="Times New Roman" w:eastAsia="方正仿宋_GBK" w:cs="Times New Roman"/>
          <w:sz w:val="32"/>
          <w:szCs w:val="32"/>
        </w:rPr>
        <w:t>支出0.00万</w:t>
      </w:r>
      <w:r>
        <w:rPr>
          <w:rFonts w:hint="eastAsia" w:ascii="方正仿宋_GBK" w:hAnsi="方正仿宋_GBK" w:eastAsia="方正仿宋_GBK" w:cs="方正仿宋_GBK"/>
          <w:sz w:val="32"/>
          <w:szCs w:val="32"/>
        </w:rPr>
        <w:t>元，占</w:t>
      </w:r>
      <w:r>
        <w:rPr>
          <w:rFonts w:hint="eastAsia" w:ascii="Times New Roman" w:hAnsi="Times New Roman" w:eastAsia="方正仿宋_GBK" w:cs="Times New Roman"/>
          <w:sz w:val="32"/>
          <w:szCs w:val="32"/>
        </w:rPr>
        <w:t>0.00%。此外，结余分配0.00万元。</w:t>
      </w:r>
    </w:p>
    <w:p w14:paraId="6B1954CF">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b/>
          <w:bCs/>
          <w:sz w:val="32"/>
          <w:szCs w:val="32"/>
        </w:rPr>
        <w:t>4.结转结余情况。</w:t>
      </w:r>
      <w:r>
        <w:rPr>
          <w:rFonts w:hint="eastAsia"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年度年末结转和结余</w:t>
      </w:r>
      <w:r>
        <w:rPr>
          <w:rFonts w:hint="eastAsia" w:ascii="Times New Roman" w:hAnsi="Times New Roman" w:eastAsia="方正仿宋_GBK" w:cs="Times New Roman"/>
          <w:sz w:val="32"/>
          <w:szCs w:val="32"/>
        </w:rPr>
        <w:t>0.00</w:t>
      </w:r>
      <w:r>
        <w:rPr>
          <w:rFonts w:hint="eastAsia" w:ascii="方正仿宋_GBK" w:hAnsi="方正仿宋_GBK" w:eastAsia="方正仿宋_GBK" w:cs="方正仿宋_GBK"/>
          <w:sz w:val="32"/>
          <w:szCs w:val="32"/>
        </w:rPr>
        <w:t>万元，较上年决算数无增减，主要原因是本年度收支平衡。</w:t>
      </w:r>
    </w:p>
    <w:p w14:paraId="15B510C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（二）财政拨款收入支出决算总体情况说明</w:t>
      </w:r>
    </w:p>
    <w:p w14:paraId="0B6107E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2023年度财政拨款收、支总计30.16万元。与2022年相比，财政拨款收、支总计各增加30.16万元，增长100.00%。主要原因是2022年为合并报表，2023年事业单位分开填报。</w:t>
      </w:r>
    </w:p>
    <w:p w14:paraId="6F53C98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（三）一般公共预算财政拨款收入支出决算情况说明</w:t>
      </w:r>
    </w:p>
    <w:p w14:paraId="609EC5B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ascii="Times New Roman" w:hAnsi="Times New Roman" w:eastAsia="方正仿宋_GBK" w:cs="方正仿宋_GBK"/>
          <w:sz w:val="32"/>
          <w:szCs w:val="32"/>
          <w:shd w:val="clear" w:color="auto" w:fill="FFFFFF"/>
        </w:rPr>
      </w:pPr>
      <w:r>
        <w:rPr>
          <w:rFonts w:hint="default" w:ascii="Times New Roman" w:hAnsi="Times New Roman" w:eastAsia="方正仿宋_GBK" w:cs="Times New Roman"/>
          <w:b/>
          <w:bCs/>
          <w:sz w:val="32"/>
          <w:szCs w:val="32"/>
        </w:rPr>
        <w:t>1.收入情况。</w:t>
      </w:r>
      <w:r>
        <w:rPr>
          <w:rFonts w:hint="eastAsia" w:ascii="Times New Roman" w:hAnsi="Times New Roman" w:eastAsia="方正仿宋_GBK" w:cs="Times New Roman"/>
          <w:sz w:val="32"/>
          <w:szCs w:val="32"/>
        </w:rPr>
        <w:t>2023年度一般公共预算财政拨款收入</w:t>
      </w:r>
      <w:r>
        <w:rPr>
          <w:rFonts w:hint="eastAsia" w:ascii="Times New Roman" w:hAnsi="Times New Roman" w:eastAsia="仿宋_GB2312" w:cs="Times New Roman"/>
          <w:sz w:val="32"/>
          <w:szCs w:val="32"/>
          <w:lang w:val="en-US" w:eastAsia="zh-CN"/>
        </w:rPr>
        <w:t>30.16</w:t>
      </w:r>
      <w:r>
        <w:rPr>
          <w:rFonts w:hint="eastAsia" w:ascii="Times New Roman" w:hAnsi="Times New Roman" w:eastAsia="方正仿宋_GBK" w:cs="Times New Roman"/>
          <w:sz w:val="32"/>
          <w:szCs w:val="32"/>
        </w:rPr>
        <w:t>万元，较上年决算数增加30.16万元，增长100.00%。较年初预算数</w:t>
      </w:r>
      <w:r>
        <w:rPr>
          <w:rFonts w:hint="eastAsia" w:ascii="方正仿宋_GBK" w:hAnsi="方正仿宋_GBK" w:eastAsia="方正仿宋_GBK" w:cs="方正仿宋_GBK"/>
          <w:kern w:val="2"/>
          <w:sz w:val="32"/>
          <w:szCs w:val="32"/>
          <w:lang w:val="en-US" w:eastAsia="zh-CN" w:bidi="ar-SA"/>
        </w:rPr>
        <w:t>增</w:t>
      </w:r>
      <w:r>
        <w:rPr>
          <w:rFonts w:ascii="Times New Roman" w:hAnsi="Times New Roman" w:eastAsia="方正仿宋_GBK" w:cs="方正仿宋_GBK"/>
          <w:sz w:val="32"/>
          <w:szCs w:val="32"/>
          <w:shd w:val="clear" w:color="auto" w:fill="FFFFFF"/>
        </w:rPr>
        <w:t>加0.35万元，增长</w:t>
      </w:r>
      <w:r>
        <w:rPr>
          <w:rFonts w:hint="default" w:ascii="Times New Roman" w:hAnsi="Times New Roman" w:eastAsia="仿宋_GB2312" w:cs="Times New Roman"/>
          <w:sz w:val="32"/>
          <w:szCs w:val="32"/>
          <w:lang w:val="en-US" w:eastAsia="zh-CN"/>
        </w:rPr>
        <w:t>1.17%</w:t>
      </w:r>
      <w:r>
        <w:rPr>
          <w:rFonts w:ascii="Times New Roman" w:hAnsi="Times New Roman" w:eastAsia="方正仿宋_GBK" w:cs="方正仿宋_GBK"/>
          <w:sz w:val="32"/>
          <w:szCs w:val="32"/>
          <w:shd w:val="clear" w:color="auto" w:fill="FFFFFF"/>
        </w:rPr>
        <w:t>。主要原因是</w:t>
      </w:r>
      <w:r>
        <w:rPr>
          <w:rFonts w:hint="eastAsia" w:ascii="Times New Roman" w:hAnsi="Times New Roman" w:eastAsia="方正仿宋_GBK" w:cs="方正仿宋_GBK"/>
          <w:color w:val="auto"/>
          <w:sz w:val="32"/>
          <w:szCs w:val="32"/>
          <w:shd w:val="clear" w:color="auto" w:fill="FFFFFF"/>
          <w:lang w:val="en-US" w:eastAsia="zh-CN"/>
        </w:rPr>
        <w:t>人员工资调整</w:t>
      </w:r>
      <w:r>
        <w:rPr>
          <w:rFonts w:ascii="Times New Roman" w:hAnsi="Times New Roman" w:eastAsia="方正仿宋_GBK" w:cs="方正仿宋_GBK"/>
          <w:color w:val="auto"/>
          <w:sz w:val="32"/>
          <w:szCs w:val="32"/>
          <w:shd w:val="clear" w:color="auto" w:fill="FFFFFF"/>
        </w:rPr>
        <w:t>。</w:t>
      </w:r>
      <w:r>
        <w:rPr>
          <w:rFonts w:ascii="Times New Roman" w:hAnsi="Times New Roman" w:eastAsia="方正仿宋_GBK" w:cs="方正仿宋_GBK"/>
          <w:sz w:val="32"/>
          <w:szCs w:val="32"/>
          <w:shd w:val="clear" w:color="auto" w:fill="FFFFFF"/>
        </w:rPr>
        <w:t>此外，年初财政拨款结转和结余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p>
    <w:p w14:paraId="388B9AA2">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default" w:ascii="Times New Roman" w:hAnsi="Times New Roman" w:eastAsia="方正仿宋_GBK" w:cs="方正仿宋_GBK"/>
          <w:sz w:val="32"/>
          <w:szCs w:val="32"/>
        </w:rPr>
      </w:pPr>
      <w:r>
        <w:rPr>
          <w:rStyle w:val="9"/>
          <w:rFonts w:ascii="Times New Roman" w:hAnsi="Times New Roman" w:eastAsia="方正仿宋_GBK" w:cs="方正仿宋_GBK"/>
          <w:sz w:val="32"/>
          <w:szCs w:val="32"/>
          <w:shd w:val="clear" w:color="auto" w:fill="FFFFFF"/>
        </w:rPr>
        <w:t>2.支出情况。</w:t>
      </w:r>
      <w:r>
        <w:rPr>
          <w:rFonts w:hint="default" w:ascii="Times New Roman" w:hAnsi="Times New Roman" w:eastAsia="仿宋_GB2312" w:cs="Times New Roman"/>
          <w:sz w:val="32"/>
          <w:szCs w:val="32"/>
          <w:lang w:val="en-US" w:eastAsia="zh-CN"/>
        </w:rPr>
        <w:t>2023</w:t>
      </w:r>
      <w:r>
        <w:rPr>
          <w:rFonts w:ascii="Times New Roman" w:hAnsi="Times New Roman" w:eastAsia="方正仿宋_GBK" w:cs="方正仿宋_GBK"/>
          <w:sz w:val="32"/>
          <w:szCs w:val="32"/>
          <w:shd w:val="clear" w:color="auto" w:fill="FFFFFF"/>
        </w:rPr>
        <w:t>年度一般公共预算财政拨款支出</w:t>
      </w:r>
      <w:r>
        <w:rPr>
          <w:rFonts w:hint="default" w:ascii="Times New Roman" w:hAnsi="Times New Roman" w:eastAsia="仿宋_GB2312" w:cs="Times New Roman"/>
          <w:sz w:val="32"/>
          <w:szCs w:val="32"/>
          <w:lang w:val="en-US" w:eastAsia="zh-CN"/>
        </w:rPr>
        <w:t>30.16</w:t>
      </w:r>
      <w:r>
        <w:rPr>
          <w:rFonts w:ascii="Times New Roman" w:hAnsi="Times New Roman" w:eastAsia="方正仿宋_GBK" w:cs="方正仿宋_GBK"/>
          <w:sz w:val="32"/>
          <w:szCs w:val="32"/>
          <w:shd w:val="clear" w:color="auto" w:fill="FFFFFF"/>
        </w:rPr>
        <w:t>万元，较上年决算数增加30.16万元，增长100.00%。较年初预算数增加0.35万元，增长1.17%。主要原因是</w:t>
      </w:r>
      <w:r>
        <w:rPr>
          <w:rFonts w:hint="eastAsia" w:ascii="Times New Roman" w:hAnsi="Times New Roman" w:eastAsia="方正仿宋_GBK" w:cs="方正仿宋_GBK"/>
          <w:color w:val="auto"/>
          <w:sz w:val="32"/>
          <w:szCs w:val="32"/>
          <w:shd w:val="clear" w:color="auto" w:fill="FFFFFF"/>
          <w:lang w:val="en-US" w:eastAsia="zh-CN"/>
        </w:rPr>
        <w:t>人员工资调整</w:t>
      </w:r>
      <w:r>
        <w:rPr>
          <w:rFonts w:ascii="Times New Roman" w:hAnsi="Times New Roman" w:eastAsia="方正仿宋_GBK" w:cs="方正仿宋_GBK"/>
          <w:color w:val="auto"/>
          <w:sz w:val="32"/>
          <w:szCs w:val="32"/>
          <w:shd w:val="clear" w:color="auto" w:fill="FFFFFF"/>
        </w:rPr>
        <w:t>。</w:t>
      </w:r>
    </w:p>
    <w:p w14:paraId="5C89951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hint="eastAsia" w:ascii="Times New Roman" w:hAnsi="Times New Roman" w:eastAsia="方正仿宋_GBK" w:cs="方正仿宋_GBK"/>
          <w:color w:val="auto"/>
          <w:sz w:val="32"/>
          <w:szCs w:val="32"/>
          <w:shd w:val="clear" w:color="auto" w:fill="FFFFFF"/>
          <w:lang w:val="en-US" w:eastAsia="zh-CN"/>
        </w:rPr>
      </w:pPr>
      <w:r>
        <w:rPr>
          <w:rStyle w:val="9"/>
          <w:rFonts w:ascii="Times New Roman" w:hAnsi="Times New Roman" w:eastAsia="方正仿宋_GBK" w:cs="方正仿宋_GBK"/>
          <w:sz w:val="32"/>
          <w:szCs w:val="32"/>
          <w:shd w:val="clear" w:color="auto" w:fill="FFFFFF"/>
        </w:rPr>
        <w:t>3.结转结余情况。</w:t>
      </w:r>
      <w:r>
        <w:rPr>
          <w:rFonts w:ascii="Times New Roman" w:hAnsi="Times New Roman" w:eastAsia="方正仿宋_GBK" w:cs="方正仿宋_GBK"/>
          <w:sz w:val="32"/>
          <w:szCs w:val="32"/>
          <w:shd w:val="clear" w:color="auto" w:fill="FFFFFF"/>
        </w:rPr>
        <w:t>2023年度年末一般公共预算财政拨款结转和结余</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万元，较上年决算数无增减，主要原因是</w:t>
      </w:r>
      <w:r>
        <w:rPr>
          <w:rFonts w:hint="eastAsia" w:ascii="Times New Roman" w:hAnsi="Times New Roman" w:eastAsia="方正仿宋_GBK" w:cs="方正仿宋_GBK"/>
          <w:color w:val="auto"/>
          <w:sz w:val="32"/>
          <w:szCs w:val="32"/>
          <w:shd w:val="clear" w:color="auto" w:fill="FFFFFF"/>
          <w:lang w:val="en-US" w:eastAsia="zh-CN"/>
        </w:rPr>
        <w:t>本年度收支平衡。</w:t>
      </w:r>
    </w:p>
    <w:p w14:paraId="725F5CFE">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3" w:firstLineChars="200"/>
        <w:jc w:val="both"/>
        <w:textAlignment w:val="auto"/>
        <w:rPr>
          <w:rFonts w:ascii="Times New Roman" w:hAnsi="Times New Roman" w:eastAsia="方正仿宋_GBK" w:cs="方正仿宋_GBK"/>
          <w:sz w:val="32"/>
          <w:szCs w:val="32"/>
          <w:shd w:val="clear" w:color="auto" w:fill="FFFFFF"/>
        </w:rPr>
      </w:pPr>
      <w:r>
        <w:rPr>
          <w:rStyle w:val="9"/>
          <w:rFonts w:ascii="Times New Roman" w:hAnsi="Times New Roman" w:eastAsia="方正仿宋_GBK" w:cs="方正仿宋_GBK"/>
          <w:sz w:val="32"/>
          <w:szCs w:val="32"/>
          <w:shd w:val="clear" w:color="auto" w:fill="FFFFFF"/>
        </w:rPr>
        <w:t>4.比较情况。</w:t>
      </w:r>
      <w:r>
        <w:rPr>
          <w:rFonts w:ascii="Times New Roman" w:hAnsi="Times New Roman" w:eastAsia="方正仿宋_GBK" w:cs="方正仿宋_GBK"/>
          <w:sz w:val="32"/>
          <w:szCs w:val="32"/>
          <w:shd w:val="clear" w:color="auto" w:fill="FFFFFF"/>
        </w:rPr>
        <w:t>本单位</w:t>
      </w:r>
      <w:r>
        <w:rPr>
          <w:rFonts w:hint="default" w:ascii="Times New Roman" w:hAnsi="Times New Roman" w:eastAsia="仿宋_GB2312" w:cs="Times New Roman"/>
          <w:sz w:val="32"/>
          <w:szCs w:val="32"/>
          <w:lang w:val="en-US" w:eastAsia="zh-CN"/>
        </w:rPr>
        <w:t>2023</w:t>
      </w:r>
      <w:r>
        <w:rPr>
          <w:rFonts w:ascii="Times New Roman" w:hAnsi="Times New Roman" w:eastAsia="方正仿宋_GBK" w:cs="方正仿宋_GBK"/>
          <w:sz w:val="32"/>
          <w:szCs w:val="32"/>
          <w:shd w:val="clear" w:color="auto" w:fill="FFFFFF"/>
        </w:rPr>
        <w:t>年度一般公共预算财政拨款支出主要用于以下几个方面：</w:t>
      </w:r>
    </w:p>
    <w:p w14:paraId="4FEF0AEF">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Times New Roman" w:hAnsi="Times New Roman" w:eastAsia="方正仿宋_GBK" w:cs="方正仿宋_GBK"/>
          <w:color w:val="auto"/>
          <w:sz w:val="32"/>
          <w:szCs w:val="32"/>
          <w:shd w:val="clear" w:color="auto" w:fill="FFFFFF"/>
          <w:lang w:val="en-US"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1</w:t>
      </w:r>
      <w:r>
        <w:rPr>
          <w:rFonts w:ascii="Times New Roman" w:hAnsi="Times New Roman" w:eastAsia="方正仿宋_GBK" w:cs="方正仿宋_GBK"/>
          <w:sz w:val="32"/>
          <w:szCs w:val="32"/>
          <w:shd w:val="clear" w:color="auto" w:fill="FFFFFF"/>
        </w:rPr>
        <w:t>）社会保障与就业支出</w:t>
      </w:r>
      <w:r>
        <w:rPr>
          <w:rFonts w:hint="default" w:ascii="Times New Roman" w:hAnsi="Times New Roman" w:eastAsia="仿宋_GB2312" w:cs="Times New Roman"/>
          <w:sz w:val="32"/>
          <w:szCs w:val="32"/>
          <w:lang w:val="en-US" w:eastAsia="zh-CN"/>
        </w:rPr>
        <w:t>27.14万</w:t>
      </w:r>
      <w:r>
        <w:rPr>
          <w:rFonts w:ascii="Times New Roman" w:hAnsi="Times New Roman" w:eastAsia="方正仿宋_GBK" w:cs="方正仿宋_GBK"/>
          <w:sz w:val="32"/>
          <w:szCs w:val="32"/>
          <w:shd w:val="clear" w:color="auto" w:fill="FFFFFF"/>
        </w:rPr>
        <w:t>元，占</w:t>
      </w:r>
      <w:r>
        <w:rPr>
          <w:rFonts w:ascii="Times New Roman" w:hAnsi="Times New Roman" w:eastAsia="方正仿宋_GBK" w:cs="方正仿宋_GBK"/>
          <w:sz w:val="32"/>
          <w:szCs w:val="32"/>
        </w:rPr>
        <w:t>90.00</w:t>
      </w:r>
      <w:r>
        <w:rPr>
          <w:rFonts w:ascii="Times New Roman" w:hAnsi="Times New Roman" w:eastAsia="方正仿宋_GBK" w:cs="方正仿宋_GBK"/>
          <w:sz w:val="32"/>
          <w:szCs w:val="32"/>
          <w:shd w:val="clear" w:color="auto" w:fill="FFFFFF"/>
        </w:rPr>
        <w:t>%，较年初预算数增加0.35万元，增长1.31%，主要原因是</w:t>
      </w:r>
      <w:r>
        <w:rPr>
          <w:rFonts w:hint="eastAsia" w:ascii="Times New Roman" w:hAnsi="Times New Roman" w:eastAsia="方正仿宋_GBK" w:cs="方正仿宋_GBK"/>
          <w:color w:val="auto"/>
          <w:sz w:val="32"/>
          <w:szCs w:val="32"/>
          <w:shd w:val="clear" w:color="auto" w:fill="FFFFFF"/>
          <w:lang w:val="en-US" w:eastAsia="zh-CN"/>
        </w:rPr>
        <w:t>人员工资调整。</w:t>
      </w:r>
    </w:p>
    <w:p w14:paraId="4D816B18">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lang w:val="en-US"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2</w:t>
      </w:r>
      <w:r>
        <w:rPr>
          <w:rFonts w:ascii="Times New Roman" w:hAnsi="Times New Roman" w:eastAsia="方正仿宋_GBK" w:cs="方正仿宋_GBK"/>
          <w:sz w:val="32"/>
          <w:szCs w:val="32"/>
          <w:shd w:val="clear" w:color="auto" w:fill="FFFFFF"/>
        </w:rPr>
        <w:t>）卫生健康支出</w:t>
      </w:r>
      <w:r>
        <w:rPr>
          <w:rFonts w:ascii="Times New Roman" w:hAnsi="Times New Roman" w:eastAsia="方正仿宋_GBK" w:cs="方正仿宋_GBK"/>
          <w:sz w:val="32"/>
          <w:szCs w:val="32"/>
        </w:rPr>
        <w:t>1.55</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5.13</w:t>
      </w:r>
      <w:r>
        <w:rPr>
          <w:rFonts w:ascii="Times New Roman" w:hAnsi="Times New Roman" w:eastAsia="方正仿宋_GBK" w:cs="方正仿宋_GBK"/>
          <w:sz w:val="32"/>
          <w:szCs w:val="32"/>
          <w:shd w:val="clear" w:color="auto" w:fill="FFFFFF"/>
        </w:rPr>
        <w:t>%，较年初预算数无增减，主要原因是</w:t>
      </w:r>
      <w:r>
        <w:rPr>
          <w:rFonts w:hint="eastAsia" w:ascii="Times New Roman" w:hAnsi="Times New Roman" w:eastAsia="方正仿宋_GBK" w:cs="方正仿宋_GBK"/>
          <w:sz w:val="32"/>
          <w:szCs w:val="32"/>
          <w:shd w:val="clear" w:color="auto" w:fill="FFFFFF"/>
          <w:lang w:val="en-US" w:eastAsia="zh-CN"/>
        </w:rPr>
        <w:t>本年度严格执行预算。</w:t>
      </w:r>
    </w:p>
    <w:p w14:paraId="20B729CB">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lang w:val="en-US" w:eastAsia="zh-CN"/>
        </w:rPr>
      </w:pPr>
      <w:r>
        <w:rPr>
          <w:rFonts w:ascii="Times New Roman" w:hAnsi="Times New Roman" w:eastAsia="方正仿宋_GBK" w:cs="方正仿宋_GBK"/>
          <w:sz w:val="32"/>
          <w:szCs w:val="32"/>
          <w:shd w:val="clear" w:color="auto" w:fill="FFFFFF"/>
        </w:rPr>
        <w:t>（</w:t>
      </w:r>
      <w:r>
        <w:rPr>
          <w:rFonts w:hint="eastAsia" w:ascii="Times New Roman" w:hAnsi="Times New Roman" w:eastAsia="方正仿宋_GBK" w:cs="方正仿宋_GBK"/>
          <w:sz w:val="32"/>
          <w:szCs w:val="32"/>
          <w:shd w:val="clear" w:color="auto" w:fill="FFFFFF"/>
          <w:lang w:val="en-US" w:eastAsia="zh-CN"/>
        </w:rPr>
        <w:t>3</w:t>
      </w:r>
      <w:r>
        <w:rPr>
          <w:rFonts w:ascii="Times New Roman" w:hAnsi="Times New Roman" w:eastAsia="方正仿宋_GBK" w:cs="方正仿宋_GBK"/>
          <w:sz w:val="32"/>
          <w:szCs w:val="32"/>
          <w:shd w:val="clear" w:color="auto" w:fill="FFFFFF"/>
        </w:rPr>
        <w:t>）</w:t>
      </w:r>
      <w:r>
        <w:rPr>
          <w:rFonts w:ascii="Times New Roman" w:hAnsi="Times New Roman" w:eastAsia="方正仿宋_GBK" w:cs="方正仿宋_GBK"/>
          <w:sz w:val="32"/>
          <w:szCs w:val="32"/>
        </w:rPr>
        <w:t>住房保障支出1.47</w:t>
      </w:r>
      <w:r>
        <w:rPr>
          <w:rFonts w:ascii="Times New Roman" w:hAnsi="Times New Roman" w:eastAsia="方正仿宋_GBK" w:cs="方正仿宋_GBK"/>
          <w:sz w:val="32"/>
          <w:szCs w:val="32"/>
          <w:shd w:val="clear" w:color="auto" w:fill="FFFFFF"/>
        </w:rPr>
        <w:t>万元，占</w:t>
      </w:r>
      <w:r>
        <w:rPr>
          <w:rFonts w:ascii="Times New Roman" w:hAnsi="Times New Roman" w:eastAsia="方正仿宋_GBK" w:cs="方正仿宋_GBK"/>
          <w:sz w:val="32"/>
          <w:szCs w:val="32"/>
        </w:rPr>
        <w:t>4.88</w:t>
      </w:r>
      <w:r>
        <w:rPr>
          <w:rFonts w:ascii="Times New Roman" w:hAnsi="Times New Roman" w:eastAsia="方正仿宋_GBK" w:cs="方正仿宋_GBK"/>
          <w:sz w:val="32"/>
          <w:szCs w:val="32"/>
          <w:shd w:val="clear" w:color="auto" w:fill="FFFFFF"/>
        </w:rPr>
        <w:t>%，较年初预算数无增减，主要原因是</w:t>
      </w:r>
      <w:r>
        <w:rPr>
          <w:rFonts w:hint="eastAsia" w:ascii="Times New Roman" w:hAnsi="Times New Roman" w:eastAsia="方正仿宋_GBK" w:cs="方正仿宋_GBK"/>
          <w:sz w:val="32"/>
          <w:szCs w:val="32"/>
          <w:shd w:val="clear" w:color="auto" w:fill="FFFFFF"/>
          <w:lang w:val="en-US" w:eastAsia="zh-CN"/>
        </w:rPr>
        <w:t>本年度严格执行预算。</w:t>
      </w:r>
    </w:p>
    <w:p w14:paraId="3DB8B8EB">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（四）一般公共预算财政拨款基本支出决算情况说明</w:t>
      </w:r>
    </w:p>
    <w:p w14:paraId="501CBFEA">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leftChars="0" w:firstLine="640" w:firstLineChars="200"/>
        <w:jc w:val="both"/>
        <w:textAlignment w:val="auto"/>
        <w:rPr>
          <w:rFonts w:hint="eastAsia" w:ascii="Times New Roman" w:hAnsi="Times New Roman" w:eastAsia="方正仿宋_GBK" w:cs="Times New Roman"/>
          <w:b w:val="0"/>
          <w:i w:val="0"/>
          <w:caps w:val="0"/>
          <w:color w:val="auto"/>
          <w:spacing w:val="0"/>
          <w:sz w:val="32"/>
          <w:szCs w:val="32"/>
          <w:shd w:val="clear" w:color="auto" w:fill="FFFFFF"/>
        </w:rPr>
      </w:pPr>
      <w:r>
        <w:rPr>
          <w:rFonts w:ascii="Times New Roman" w:hAnsi="Times New Roman" w:eastAsia="方正仿宋_GBK" w:cs="方正仿宋_GBK"/>
          <w:sz w:val="32"/>
          <w:szCs w:val="32"/>
          <w:shd w:val="clear" w:color="auto" w:fill="FFFFFF"/>
        </w:rPr>
        <w:t>2023年度一般公共财政拨款基本支出</w:t>
      </w:r>
      <w:r>
        <w:rPr>
          <w:rFonts w:ascii="Times New Roman" w:hAnsi="Times New Roman" w:eastAsia="方正仿宋_GBK" w:cs="方正仿宋_GBK"/>
          <w:sz w:val="32"/>
          <w:szCs w:val="32"/>
        </w:rPr>
        <w:t>30.16</w:t>
      </w:r>
      <w:r>
        <w:rPr>
          <w:rFonts w:ascii="Times New Roman" w:hAnsi="Times New Roman" w:eastAsia="方正仿宋_GBK" w:cs="方正仿宋_GBK"/>
          <w:sz w:val="32"/>
          <w:szCs w:val="32"/>
          <w:shd w:val="clear" w:color="auto" w:fill="FFFFFF"/>
        </w:rPr>
        <w:t>万元。其中：人员经费</w:t>
      </w:r>
      <w:r>
        <w:rPr>
          <w:rFonts w:ascii="Times New Roman" w:hAnsi="Times New Roman" w:eastAsia="方正仿宋_GBK" w:cs="方正仿宋_GBK"/>
          <w:sz w:val="32"/>
          <w:szCs w:val="32"/>
        </w:rPr>
        <w:t>29.54</w:t>
      </w:r>
      <w:r>
        <w:rPr>
          <w:rFonts w:ascii="Times New Roman" w:hAnsi="Times New Roman" w:eastAsia="方正仿宋_GBK" w:cs="方正仿宋_GBK"/>
          <w:sz w:val="32"/>
          <w:szCs w:val="32"/>
          <w:shd w:val="clear" w:color="auto" w:fill="FFFFFF"/>
        </w:rPr>
        <w:t>万元，较上年决算数增加29.54万元，增长100.00%，主要原因是</w:t>
      </w:r>
      <w:r>
        <w:rPr>
          <w:rFonts w:hint="eastAsia" w:ascii="Times New Roman" w:hAnsi="Times New Roman" w:eastAsia="仿宋_GB2312" w:cs="Times New Roman"/>
          <w:sz w:val="32"/>
          <w:szCs w:val="32"/>
          <w:lang w:val="en-US" w:eastAsia="zh-CN"/>
        </w:rPr>
        <w:t>2022</w:t>
      </w:r>
      <w:r>
        <w:rPr>
          <w:rFonts w:hint="eastAsia" w:ascii="仿宋_GB2312" w:hAnsi="仿宋" w:eastAsia="仿宋_GB2312" w:cs="宋体"/>
          <w:sz w:val="32"/>
          <w:szCs w:val="32"/>
          <w:lang w:val="en-US" w:eastAsia="zh-CN"/>
        </w:rPr>
        <w:t>年为合并报表，</w:t>
      </w:r>
      <w:r>
        <w:rPr>
          <w:rFonts w:hint="default" w:ascii="Times New Roman" w:hAnsi="Times New Roman" w:eastAsia="仿宋_GB2312" w:cs="Times New Roman"/>
          <w:sz w:val="32"/>
          <w:szCs w:val="32"/>
          <w:lang w:val="en-US" w:eastAsia="zh-CN"/>
        </w:rPr>
        <w:t>2023</w:t>
      </w:r>
      <w:r>
        <w:rPr>
          <w:rFonts w:hint="eastAsia" w:ascii="仿宋_GB2312" w:hAnsi="仿宋" w:eastAsia="仿宋_GB2312" w:cs="宋体"/>
          <w:sz w:val="32"/>
          <w:szCs w:val="32"/>
          <w:lang w:val="en-US" w:eastAsia="zh-CN"/>
        </w:rPr>
        <w:t>年事业单位分开填报。</w:t>
      </w:r>
      <w:r>
        <w:rPr>
          <w:rFonts w:ascii="Times New Roman" w:hAnsi="Times New Roman" w:eastAsia="方正仿宋_GBK" w:cs="方正仿宋_GBK"/>
          <w:sz w:val="32"/>
          <w:szCs w:val="32"/>
          <w:shd w:val="clear" w:color="auto" w:fill="FFFFFF"/>
        </w:rPr>
        <w:t>人员经费用途主要包括</w:t>
      </w:r>
      <w:r>
        <w:rPr>
          <w:rFonts w:hint="eastAsia" w:ascii="Times New Roman" w:hAnsi="Times New Roman" w:eastAsia="方正仿宋_GBK" w:cs="Times New Roman"/>
          <w:b w:val="0"/>
          <w:i w:val="0"/>
          <w:caps w:val="0"/>
          <w:color w:val="auto"/>
          <w:spacing w:val="0"/>
          <w:sz w:val="32"/>
          <w:szCs w:val="32"/>
          <w:shd w:val="clear" w:color="auto" w:fill="FFFFFF"/>
        </w:rPr>
        <w:t>人员的劳动报酬、生活津贴和福利补助、对个人及家庭补助等开支的部分</w:t>
      </w:r>
      <w:r>
        <w:rPr>
          <w:rFonts w:hint="eastAsia" w:ascii="Times New Roman" w:hAnsi="Times New Roman" w:eastAsia="方正仿宋_GBK" w:cs="方正仿宋_GBK"/>
          <w:sz w:val="32"/>
          <w:szCs w:val="32"/>
          <w:shd w:val="clear" w:color="auto" w:fill="FFFFFF"/>
          <w:lang w:eastAsia="zh-CN"/>
        </w:rPr>
        <w:t>。</w:t>
      </w:r>
      <w:r>
        <w:rPr>
          <w:rFonts w:ascii="Times New Roman" w:hAnsi="Times New Roman" w:eastAsia="方正仿宋_GBK" w:cs="方正仿宋_GBK"/>
          <w:sz w:val="32"/>
          <w:szCs w:val="32"/>
          <w:shd w:val="clear" w:color="auto" w:fill="FFFFFF"/>
        </w:rPr>
        <w:t>公用经费</w:t>
      </w:r>
      <w:r>
        <w:rPr>
          <w:rFonts w:ascii="Times New Roman" w:hAnsi="Times New Roman" w:eastAsia="方正仿宋_GBK" w:cs="方正仿宋_GBK"/>
          <w:sz w:val="32"/>
          <w:szCs w:val="32"/>
        </w:rPr>
        <w:t>0.61</w:t>
      </w:r>
      <w:r>
        <w:rPr>
          <w:rFonts w:ascii="Times New Roman" w:hAnsi="Times New Roman" w:eastAsia="方正仿宋_GBK" w:cs="方正仿宋_GBK"/>
          <w:sz w:val="32"/>
          <w:szCs w:val="32"/>
          <w:shd w:val="clear" w:color="auto" w:fill="FFFFFF"/>
        </w:rPr>
        <w:t>万元，较上年决算数增加0.61万元，增长100.00%，</w:t>
      </w:r>
      <w:r>
        <w:rPr>
          <w:rFonts w:hint="eastAsia" w:ascii="Times New Roman" w:hAnsi="Times New Roman" w:eastAsia="方正仿宋_GBK" w:cs="方正仿宋_GBK"/>
          <w:sz w:val="32"/>
          <w:szCs w:val="32"/>
          <w:shd w:val="clear" w:color="auto" w:fill="FFFFFF"/>
        </w:rPr>
        <w:t>主要原因是</w:t>
      </w:r>
      <w:r>
        <w:rPr>
          <w:rFonts w:hint="eastAsia" w:ascii="Times New Roman" w:hAnsi="Times New Roman" w:eastAsia="仿宋_GB2312" w:cs="Times New Roman"/>
          <w:sz w:val="32"/>
          <w:szCs w:val="32"/>
          <w:lang w:val="en-US" w:eastAsia="zh-CN"/>
        </w:rPr>
        <w:t>2022</w:t>
      </w:r>
      <w:r>
        <w:rPr>
          <w:rFonts w:hint="eastAsia" w:ascii="Times New Roman" w:hAnsi="Times New Roman" w:eastAsia="方正仿宋_GBK" w:cs="方正仿宋_GBK"/>
          <w:sz w:val="32"/>
          <w:szCs w:val="32"/>
          <w:shd w:val="clear" w:color="auto" w:fill="FFFFFF"/>
          <w:lang w:val="en-US" w:eastAsia="zh-CN"/>
        </w:rPr>
        <w:t>年为合并报表，</w:t>
      </w:r>
      <w:r>
        <w:rPr>
          <w:rFonts w:hint="eastAsia" w:ascii="Times New Roman" w:hAnsi="Times New Roman" w:eastAsia="仿宋_GB2312" w:cs="Times New Roman"/>
          <w:sz w:val="32"/>
          <w:szCs w:val="32"/>
          <w:lang w:val="en-US" w:eastAsia="zh-CN"/>
        </w:rPr>
        <w:t>2023</w:t>
      </w:r>
      <w:r>
        <w:rPr>
          <w:rFonts w:hint="eastAsia" w:ascii="仿宋_GB2312" w:hAnsi="仿宋" w:eastAsia="仿宋_GB2312" w:cs="宋体"/>
          <w:sz w:val="32"/>
          <w:szCs w:val="32"/>
          <w:lang w:val="en-US" w:eastAsia="zh-CN"/>
        </w:rPr>
        <w:t>年事业单位</w:t>
      </w:r>
      <w:r>
        <w:rPr>
          <w:rFonts w:hint="eastAsia" w:ascii="Times New Roman" w:hAnsi="Times New Roman" w:eastAsia="方正仿宋_GBK" w:cs="方正仿宋_GBK"/>
          <w:sz w:val="32"/>
          <w:szCs w:val="32"/>
          <w:shd w:val="clear" w:color="auto" w:fill="FFFFFF"/>
          <w:lang w:val="en-US" w:eastAsia="zh-CN"/>
        </w:rPr>
        <w:t>分开填报，2023年度部分办公费用在本单位支出。</w:t>
      </w:r>
      <w:r>
        <w:rPr>
          <w:rFonts w:ascii="Times New Roman" w:hAnsi="Times New Roman" w:eastAsia="方正仿宋_GBK" w:cs="方正仿宋_GBK"/>
          <w:sz w:val="32"/>
          <w:szCs w:val="32"/>
          <w:shd w:val="clear" w:color="auto" w:fill="FFFFFF"/>
        </w:rPr>
        <w:t>公用经费用途主要包括</w:t>
      </w:r>
      <w:r>
        <w:rPr>
          <w:rFonts w:hint="eastAsia" w:ascii="Times New Roman" w:hAnsi="Times New Roman" w:eastAsia="方正仿宋_GBK" w:cs="Times New Roman"/>
          <w:b w:val="0"/>
          <w:i w:val="0"/>
          <w:caps w:val="0"/>
          <w:color w:val="auto"/>
          <w:spacing w:val="0"/>
          <w:sz w:val="32"/>
          <w:szCs w:val="32"/>
          <w:shd w:val="clear" w:color="auto" w:fill="FFFFFF"/>
        </w:rPr>
        <w:t>主要包括日常办公、业务活动方面的经常性开支。</w:t>
      </w:r>
    </w:p>
    <w:p w14:paraId="76606BA1">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（五）政府性基金预算收支决算情况说明</w:t>
      </w:r>
    </w:p>
    <w:p w14:paraId="42B3A5E3">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lang w:val="en-US" w:eastAsia="zh-CN"/>
        </w:rPr>
        <w:t>本单位2023年度无政府性基金预算财政拨款收支。</w:t>
      </w:r>
    </w:p>
    <w:p w14:paraId="2740996A">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（六）国有资本经营预算财政拨款支出决算情况说明</w:t>
      </w:r>
    </w:p>
    <w:p w14:paraId="140257A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Times New Roman" w:hAnsi="Times New Roman" w:eastAsia="方正仿宋_GBK" w:cs="方正仿宋_GBK"/>
          <w:sz w:val="32"/>
          <w:szCs w:val="32"/>
          <w:shd w:val="clear" w:color="auto" w:fill="FFFFFF"/>
          <w:lang w:val="en-US" w:eastAsia="zh-CN"/>
        </w:rPr>
        <w:t>本单位2023年度无国有资本经营预算财政拨款支出。</w:t>
      </w:r>
    </w:p>
    <w:p w14:paraId="4D321196">
      <w:pPr>
        <w:keepNext w:val="0"/>
        <w:keepLines w:val="0"/>
        <w:pageBreakBefore w:val="0"/>
        <w:widowControl w:val="0"/>
        <w:shd w:val="clear"/>
        <w:kinsoku/>
        <w:wordWrap/>
        <w:overflowPunct/>
        <w:topLinePunct w:val="0"/>
        <w:autoSpaceDE/>
        <w:autoSpaceDN/>
        <w:bidi w:val="0"/>
        <w:adjustRightInd/>
        <w:snapToGrid/>
        <w:spacing w:line="594" w:lineRule="exact"/>
        <w:ind w:firstLine="640" w:firstLineChars="200"/>
        <w:textAlignment w:val="auto"/>
        <w:rPr>
          <w:rFonts w:hint="default"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三、“三公”经费情况说明</w:t>
      </w:r>
    </w:p>
    <w:p w14:paraId="73694CB7">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我单位是重庆市大足区国梁镇人民政府的下属事业单位，“三公”经费在人民政府中统一体现。</w:t>
      </w:r>
    </w:p>
    <w:p w14:paraId="66E90E60">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（一）“三公”经费支出总体情况说明</w:t>
      </w:r>
    </w:p>
    <w:p w14:paraId="1574A2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方正仿宋_GBK" w:hAnsi="方正仿宋_GBK"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rPr>
        <w:t>2023年度“三公”经费支出共计</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w:t>
      </w:r>
      <w:r>
        <w:rPr>
          <w:rFonts w:hint="eastAsia" w:ascii="方正仿宋_GBK" w:hAnsi="方正仿宋_GBK" w:eastAsia="方正仿宋_GBK" w:cs="方正仿宋_GBK"/>
          <w:sz w:val="32"/>
          <w:szCs w:val="32"/>
          <w:shd w:val="clear" w:color="auto" w:fill="FFFFFF"/>
        </w:rPr>
        <w:t>度未发生“三公”经费支出</w:t>
      </w:r>
      <w:r>
        <w:rPr>
          <w:rFonts w:hint="eastAsia" w:ascii="方正仿宋_GBK" w:hAnsi="方正仿宋_GBK" w:eastAsia="方正仿宋_GBK" w:cs="方正仿宋_GBK"/>
          <w:sz w:val="32"/>
          <w:szCs w:val="32"/>
          <w:shd w:val="clear" w:color="auto" w:fill="FFFFFF"/>
          <w:lang w:eastAsia="zh-CN"/>
        </w:rPr>
        <w:t>。</w:t>
      </w:r>
    </w:p>
    <w:p w14:paraId="403911AB">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（二）“三公”经费分项支出情况</w:t>
      </w:r>
    </w:p>
    <w:p w14:paraId="647EA8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2023年度本部门因公出国（境）费用</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因公出国（境）费用</w:t>
      </w:r>
      <w:r>
        <w:rPr>
          <w:rFonts w:hint="eastAsia" w:ascii="Times New Roman" w:hAnsi="Times New Roman" w:eastAsia="方正仿宋_GBK" w:cs="方正仿宋_GBK"/>
          <w:sz w:val="32"/>
          <w:szCs w:val="32"/>
          <w:shd w:val="clear" w:color="auto" w:fill="FFFFFF"/>
          <w:lang w:eastAsia="zh-CN"/>
        </w:rPr>
        <w:t>。</w:t>
      </w:r>
    </w:p>
    <w:p w14:paraId="436D80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公务车购置费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公务车购置费</w:t>
      </w:r>
      <w:r>
        <w:rPr>
          <w:rFonts w:hint="eastAsia" w:ascii="Times New Roman" w:hAnsi="Times New Roman" w:eastAsia="方正仿宋_GBK" w:cs="方正仿宋_GBK"/>
          <w:sz w:val="32"/>
          <w:szCs w:val="32"/>
          <w:shd w:val="clear" w:color="auto" w:fill="FFFFFF"/>
          <w:lang w:eastAsia="zh-CN"/>
        </w:rPr>
        <w:t>。</w:t>
      </w:r>
    </w:p>
    <w:p w14:paraId="0045A0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公务车运行维护费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公务车运行维护费</w:t>
      </w:r>
      <w:r>
        <w:rPr>
          <w:rFonts w:hint="eastAsia" w:ascii="Times New Roman" w:hAnsi="Times New Roman" w:eastAsia="方正仿宋_GBK" w:cs="方正仿宋_GBK"/>
          <w:sz w:val="32"/>
          <w:szCs w:val="32"/>
          <w:shd w:val="clear" w:color="auto" w:fill="FFFFFF"/>
          <w:lang w:eastAsia="zh-CN"/>
        </w:rPr>
        <w:t>。</w:t>
      </w:r>
    </w:p>
    <w:p w14:paraId="2DE0CE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594"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shd w:val="clear" w:color="auto" w:fill="FFFFFF"/>
        </w:rPr>
        <w:t>公务接待费</w:t>
      </w:r>
      <w:r>
        <w:rPr>
          <w:rFonts w:hint="eastAsia" w:ascii="Times New Roman" w:hAnsi="Times New Roman" w:eastAsia="方正仿宋_GBK" w:cs="方正仿宋_GBK"/>
          <w:sz w:val="32"/>
          <w:szCs w:val="32"/>
        </w:rPr>
        <w:t>0.00</w:t>
      </w:r>
      <w:r>
        <w:rPr>
          <w:rFonts w:hint="eastAsia" w:ascii="Times New Roman" w:hAnsi="Times New Roman" w:eastAsia="方正仿宋_GBK" w:cs="方正仿宋_GBK"/>
          <w:sz w:val="32"/>
          <w:szCs w:val="32"/>
          <w:shd w:val="clear" w:color="auto" w:fill="FFFFFF"/>
        </w:rPr>
        <w:t>万元，</w:t>
      </w:r>
      <w:r>
        <w:rPr>
          <w:rFonts w:hint="eastAsia" w:ascii="Times New Roman" w:hAnsi="Times New Roman" w:eastAsia="方正仿宋_GBK" w:cs="Times New Roman"/>
          <w:b w:val="0"/>
          <w:i w:val="0"/>
          <w:caps w:val="0"/>
          <w:color w:val="333333"/>
          <w:spacing w:val="0"/>
          <w:sz w:val="32"/>
          <w:szCs w:val="32"/>
          <w:shd w:val="clear" w:color="auto" w:fill="FFFFFF"/>
        </w:rPr>
        <w:t>本</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单位</w:t>
      </w:r>
      <w:r>
        <w:rPr>
          <w:rFonts w:hint="eastAsia" w:ascii="Times New Roman" w:hAnsi="Times New Roman" w:eastAsia="方正仿宋_GBK" w:cs="Times New Roman"/>
          <w:b w:val="0"/>
          <w:i w:val="0"/>
          <w:caps w:val="0"/>
          <w:color w:val="333333"/>
          <w:spacing w:val="0"/>
          <w:sz w:val="32"/>
          <w:szCs w:val="32"/>
          <w:shd w:val="clear" w:color="auto" w:fill="FFFFFF"/>
        </w:rPr>
        <w:t>202</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3</w:t>
      </w:r>
      <w:r>
        <w:rPr>
          <w:rFonts w:hint="eastAsia" w:ascii="Times New Roman" w:hAnsi="Times New Roman" w:eastAsia="方正仿宋_GBK" w:cs="Times New Roman"/>
          <w:b w:val="0"/>
          <w:i w:val="0"/>
          <w:caps w:val="0"/>
          <w:color w:val="333333"/>
          <w:spacing w:val="0"/>
          <w:sz w:val="32"/>
          <w:szCs w:val="32"/>
          <w:shd w:val="clear" w:color="auto" w:fill="FFFFFF"/>
        </w:rPr>
        <w:t>年度未发生</w:t>
      </w:r>
      <w:r>
        <w:rPr>
          <w:rFonts w:hint="eastAsia" w:ascii="Times New Roman" w:hAnsi="Times New Roman" w:eastAsia="方正仿宋_GBK" w:cs="方正仿宋_GBK"/>
          <w:sz w:val="32"/>
          <w:szCs w:val="32"/>
          <w:shd w:val="clear" w:color="auto" w:fill="FFFFFF"/>
        </w:rPr>
        <w:t>公务接待费</w:t>
      </w:r>
      <w:r>
        <w:rPr>
          <w:rFonts w:hint="eastAsia" w:ascii="Times New Roman" w:hAnsi="Times New Roman" w:eastAsia="方正仿宋_GBK" w:cs="方正仿宋_GBK"/>
          <w:sz w:val="32"/>
          <w:szCs w:val="32"/>
          <w:shd w:val="clear" w:color="auto" w:fill="FFFFFF"/>
          <w:lang w:eastAsia="zh-CN"/>
        </w:rPr>
        <w:t>。</w:t>
      </w:r>
    </w:p>
    <w:p w14:paraId="727823D8">
      <w:pPr>
        <w:pStyle w:val="4"/>
        <w:keepNext w:val="0"/>
        <w:keepLines w:val="0"/>
        <w:pageBreakBefore w:val="0"/>
        <w:widowControl/>
        <w:numPr>
          <w:numId w:val="0"/>
        </w:numPr>
        <w:shd w:val="clear" w:color="auto"/>
        <w:kinsoku/>
        <w:wordWrap/>
        <w:overflowPunct/>
        <w:topLinePunct w:val="0"/>
        <w:autoSpaceDE/>
        <w:autoSpaceDN/>
        <w:bidi w:val="0"/>
        <w:adjustRightInd/>
        <w:snapToGrid/>
        <w:spacing w:before="0" w:line="594" w:lineRule="exact"/>
        <w:ind w:firstLine="640" w:firstLineChars="200"/>
        <w:textAlignment w:val="auto"/>
        <w:rPr>
          <w:rFonts w:hint="eastAsia"/>
          <w:shd w:val="clear"/>
        </w:rPr>
      </w:pPr>
      <w:r>
        <w:rPr>
          <w:rFonts w:hint="eastAsia"/>
          <w:shd w:val="clear"/>
          <w:lang w:eastAsia="zh-CN"/>
        </w:rPr>
        <w:t>（</w:t>
      </w:r>
      <w:r>
        <w:rPr>
          <w:rFonts w:hint="eastAsia"/>
          <w:shd w:val="clear"/>
          <w:lang w:val="en-US" w:eastAsia="zh-CN"/>
        </w:rPr>
        <w:t>三</w:t>
      </w:r>
      <w:r>
        <w:rPr>
          <w:rFonts w:hint="eastAsia"/>
          <w:shd w:val="clear"/>
          <w:lang w:eastAsia="zh-CN"/>
        </w:rPr>
        <w:t>）</w:t>
      </w:r>
      <w:r>
        <w:rPr>
          <w:rFonts w:hint="eastAsia"/>
          <w:shd w:val="clear"/>
        </w:rPr>
        <w:t>“三公”经费实物量情况</w:t>
      </w:r>
    </w:p>
    <w:p w14:paraId="13F96FE8">
      <w:pPr>
        <w:keepNext w:val="0"/>
        <w:keepLines w:val="0"/>
        <w:pageBreakBefore w:val="0"/>
        <w:widowControl w:val="0"/>
        <w:numPr>
          <w:numId w:val="0"/>
        </w:numPr>
        <w:kinsoku/>
        <w:wordWrap/>
        <w:overflowPunct/>
        <w:topLinePunct w:val="0"/>
        <w:autoSpaceDE/>
        <w:autoSpaceDN/>
        <w:bidi w:val="0"/>
        <w:adjustRightInd/>
        <w:snapToGrid/>
        <w:spacing w:line="594" w:lineRule="exact"/>
        <w:ind w:firstLine="640" w:firstLineChars="200"/>
        <w:textAlignment w:val="auto"/>
        <w:rPr>
          <w:rFonts w:hint="eastAsia"/>
        </w:rPr>
      </w:pPr>
      <w:r>
        <w:rPr>
          <w:rFonts w:ascii="Times New Roman" w:hAnsi="Times New Roman" w:eastAsia="方正仿宋_GBK" w:cs="方正仿宋_GBK"/>
          <w:sz w:val="32"/>
          <w:szCs w:val="32"/>
          <w:shd w:val="clear" w:color="auto" w:fill="FFFFFF"/>
        </w:rPr>
        <w:t>2023年度本部门因公出国（境）共计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个团组，</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人；公务</w:t>
      </w:r>
    </w:p>
    <w:p w14:paraId="5B3F811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ascii="Times New Roman" w:hAnsi="Times New Roman" w:eastAsia="方正仿宋_GBK" w:cs="方正仿宋_GBK"/>
          <w:sz w:val="32"/>
          <w:szCs w:val="32"/>
          <w:shd w:val="clear" w:color="auto" w:fill="FFFFFF"/>
        </w:rPr>
        <w:t>用车购置</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辆，公务车保有量为</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辆；国内公务接待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人，其中：国内外事接待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人；国（境）外公务接待</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批次，</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人。2023年本部门人均接待费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元，车均购置费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万元，车均维护费</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万元。</w:t>
      </w:r>
    </w:p>
    <w:p w14:paraId="7847A608">
      <w:pPr>
        <w:pStyle w:val="2"/>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default"/>
          <w:shd w:val="clear"/>
        </w:rPr>
      </w:pPr>
      <w:r>
        <w:rPr>
          <w:rFonts w:hint="eastAsia"/>
          <w:shd w:val="clear"/>
        </w:rPr>
        <w:t>四、其他需要说明的事项</w:t>
      </w:r>
    </w:p>
    <w:p w14:paraId="0CDCB6E3">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shd w:val="clear"/>
        </w:rPr>
      </w:pPr>
      <w:r>
        <w:rPr>
          <w:rFonts w:hint="eastAsia"/>
          <w:shd w:val="clear"/>
        </w:rPr>
        <w:t>（一）财政拨款会议费和培训费情况说明</w:t>
      </w:r>
    </w:p>
    <w:p w14:paraId="23764755">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本年度会议费支出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val="en-US" w:eastAsia="zh-CN"/>
        </w:rPr>
        <w:t>2023年度本单位未发生会议费支出</w:t>
      </w:r>
      <w:r>
        <w:rPr>
          <w:rFonts w:ascii="Times New Roman" w:hAnsi="Times New Roman" w:eastAsia="方正仿宋_GBK" w:cs="方正仿宋_GBK"/>
          <w:sz w:val="32"/>
          <w:szCs w:val="32"/>
          <w:shd w:val="clear" w:color="auto" w:fill="FFFFFF"/>
        </w:rPr>
        <w:t>。本年度培训费支出</w:t>
      </w:r>
      <w:r>
        <w:rPr>
          <w:rFonts w:ascii="Times New Roman" w:hAnsi="Times New Roman" w:eastAsia="方正仿宋_GBK" w:cs="方正仿宋_GBK"/>
          <w:sz w:val="32"/>
          <w:szCs w:val="32"/>
        </w:rPr>
        <w:t>0.00</w:t>
      </w:r>
      <w:r>
        <w:rPr>
          <w:rFonts w:ascii="Times New Roman" w:hAnsi="Times New Roman" w:eastAsia="方正仿宋_GBK" w:cs="方正仿宋_GBK"/>
          <w:sz w:val="32"/>
          <w:szCs w:val="32"/>
          <w:shd w:val="clear" w:color="auto" w:fill="FFFFFF"/>
        </w:rPr>
        <w:t>万元，</w:t>
      </w:r>
      <w:r>
        <w:rPr>
          <w:rFonts w:hint="eastAsia" w:ascii="Times New Roman" w:hAnsi="Times New Roman" w:eastAsia="方正仿宋_GBK" w:cs="方正仿宋_GBK"/>
          <w:sz w:val="32"/>
          <w:szCs w:val="32"/>
          <w:shd w:val="clear" w:color="auto" w:fill="FFFFFF"/>
          <w:lang w:val="en-US" w:eastAsia="zh-CN"/>
        </w:rPr>
        <w:t>2023年度本单位未发生会议费支出。</w:t>
      </w:r>
    </w:p>
    <w:p w14:paraId="064949D1">
      <w:pPr>
        <w:pStyle w:val="4"/>
        <w:keepNext w:val="0"/>
        <w:keepLines w:val="0"/>
        <w:pageBreakBefore w:val="0"/>
        <w:widowControl/>
        <w:numPr>
          <w:numId w:val="0"/>
        </w:numPr>
        <w:shd w:val="clear" w:color="auto"/>
        <w:kinsoku/>
        <w:wordWrap/>
        <w:overflowPunct/>
        <w:topLinePunct w:val="0"/>
        <w:autoSpaceDE/>
        <w:autoSpaceDN/>
        <w:bidi w:val="0"/>
        <w:adjustRightInd/>
        <w:spacing w:before="0" w:line="594" w:lineRule="exact"/>
        <w:ind w:firstLine="640" w:firstLineChars="200"/>
        <w:textAlignment w:val="auto"/>
        <w:rPr>
          <w:rFonts w:hint="eastAsia" w:ascii="Times New Roman" w:hAnsi="Times New Roman" w:eastAsia="方正仿宋_GBK" w:cs="方正仿宋_GBK"/>
          <w:sz w:val="32"/>
          <w:szCs w:val="32"/>
          <w:shd w:val="clear" w:color="auto" w:fill="FFFFFF"/>
          <w:lang w:val="en-US" w:eastAsia="zh-CN"/>
        </w:rPr>
      </w:pPr>
      <w:r>
        <w:rPr>
          <w:rFonts w:hint="eastAsia"/>
          <w:shd w:val="clear"/>
          <w:lang w:eastAsia="zh-CN"/>
        </w:rPr>
        <w:t>（二）</w:t>
      </w:r>
      <w:r>
        <w:rPr>
          <w:rFonts w:hint="eastAsia"/>
          <w:shd w:val="clear"/>
        </w:rPr>
        <w:t>机关运行经费情况说明</w:t>
      </w:r>
    </w:p>
    <w:p w14:paraId="04E5B9B5">
      <w:pPr>
        <w:pStyle w:val="3"/>
        <w:keepNext w:val="0"/>
        <w:keepLines w:val="0"/>
        <w:pageBreakBefore w:val="0"/>
        <w:widowControl/>
        <w:shd w:val="clear"/>
        <w:kinsoku/>
        <w:wordWrap/>
        <w:overflowPunct/>
        <w:topLinePunct w:val="0"/>
        <w:autoSpaceDE/>
        <w:autoSpaceDN/>
        <w:bidi w:val="0"/>
        <w:adjustRightInd/>
        <w:snapToGrid w:val="0"/>
        <w:spacing w:before="0" w:beforeAutospacing="0" w:after="0" w:afterAutospacing="0" w:line="594" w:lineRule="exact"/>
        <w:ind w:left="0" w:firstLine="640"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Fonts w:ascii="Times New Roman" w:hAnsi="Times New Roman" w:eastAsia="方正仿宋_GBK" w:cs="方正仿宋_GBK"/>
          <w:sz w:val="32"/>
          <w:szCs w:val="32"/>
          <w:shd w:val="clear" w:color="auto" w:fill="FFFFFF"/>
        </w:rPr>
        <w:t>2023年度本部门机关运行经费支出0.00万元，</w:t>
      </w:r>
      <w:r>
        <w:rPr>
          <w:rFonts w:hint="eastAsia" w:ascii="Times New Roman" w:hAnsi="Times New Roman" w:eastAsia="方正仿宋_GBK" w:cs="方正仿宋_GBK"/>
          <w:sz w:val="32"/>
          <w:szCs w:val="32"/>
          <w:shd w:val="clear" w:color="auto" w:fill="FFFFFF"/>
          <w:lang w:val="en-US" w:eastAsia="zh-CN"/>
        </w:rPr>
        <w:t>本单位未发生机关</w:t>
      </w:r>
      <w:r>
        <w:rPr>
          <w:rFonts w:ascii="Times New Roman" w:hAnsi="Times New Roman" w:eastAsia="方正仿宋_GBK" w:cs="方正仿宋_GBK"/>
          <w:sz w:val="32"/>
          <w:szCs w:val="32"/>
          <w:shd w:val="clear" w:color="auto" w:fill="FFFFFF"/>
        </w:rPr>
        <w:t>机关运行经费</w:t>
      </w:r>
      <w:r>
        <w:rPr>
          <w:rFonts w:hint="eastAsia" w:ascii="Times New Roman" w:hAnsi="Times New Roman" w:eastAsia="方正仿宋_GBK" w:cs="方正仿宋_GBK"/>
          <w:sz w:val="32"/>
          <w:szCs w:val="32"/>
          <w:shd w:val="clear" w:color="auto" w:fill="FFFFFF"/>
          <w:lang w:eastAsia="zh-CN"/>
        </w:rPr>
        <w:t>。</w:t>
      </w:r>
      <w:r>
        <w:rPr>
          <w:rFonts w:hint="eastAsia" w:ascii="Times New Roman" w:hAnsi="Times New Roman" w:eastAsia="方正仿宋_GBK" w:cs="方正仿宋_GBK"/>
          <w:sz w:val="32"/>
          <w:szCs w:val="32"/>
          <w:shd w:val="clear" w:color="auto" w:fill="FFFFFF"/>
          <w:lang w:val="en-US" w:eastAsia="zh-CN"/>
        </w:rPr>
        <w:t>事业单位不在机关运行经费统计范围之内。</w:t>
      </w:r>
    </w:p>
    <w:p w14:paraId="65221970">
      <w:pPr>
        <w:pStyle w:val="4"/>
        <w:keepNext w:val="0"/>
        <w:keepLines w:val="0"/>
        <w:pageBreakBefore w:val="0"/>
        <w:widowControl/>
        <w:numPr>
          <w:ilvl w:val="0"/>
          <w:numId w:val="0"/>
        </w:numPr>
        <w:shd w:val="clear" w:color="auto"/>
        <w:kinsoku/>
        <w:wordWrap/>
        <w:overflowPunct/>
        <w:topLinePunct w:val="0"/>
        <w:autoSpaceDE/>
        <w:autoSpaceDN/>
        <w:bidi w:val="0"/>
        <w:adjustRightInd/>
        <w:spacing w:before="0" w:line="594" w:lineRule="exact"/>
        <w:ind w:firstLine="640" w:firstLineChars="200"/>
        <w:textAlignment w:val="auto"/>
        <w:rPr>
          <w:rFonts w:hint="eastAsia"/>
          <w:shd w:val="clear"/>
          <w:lang w:val="en-US" w:eastAsia="zh-CN"/>
        </w:rPr>
      </w:pPr>
      <w:r>
        <w:rPr>
          <w:rFonts w:hint="eastAsia"/>
          <w:shd w:val="clear"/>
          <w:lang w:val="en-US" w:eastAsia="zh-CN"/>
        </w:rPr>
        <w:t>（三）国有资产占用情况说明</w:t>
      </w:r>
    </w:p>
    <w:p w14:paraId="76F9F52A">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ascii="Times New Roman" w:hAnsi="Times New Roman" w:eastAsia="方正仿宋_GBK" w:cs="方正仿宋_GBK"/>
          <w:sz w:val="32"/>
          <w:szCs w:val="32"/>
          <w:shd w:val="clear" w:color="auto" w:fill="FFFFFF"/>
        </w:rPr>
      </w:pPr>
      <w:r>
        <w:rPr>
          <w:rFonts w:ascii="Times New Roman" w:hAnsi="Times New Roman" w:eastAsia="方正仿宋_GBK" w:cs="方正仿宋_GBK"/>
          <w:sz w:val="32"/>
          <w:szCs w:val="32"/>
          <w:shd w:val="clear" w:color="auto" w:fill="FFFFFF"/>
        </w:rPr>
        <w:t>截至2023年12月31日，本部门共有车辆</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辆，其中，副部（省）级及以上领导用车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辆、主要负责人用车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辆、机要通信用车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辆、应急保障用车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辆、执法执勤用车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辆，特种专业技术用车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辆，离退休干部用车</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辆。单价100万元（含）以上专用设备</w:t>
      </w:r>
      <w:r>
        <w:rPr>
          <w:rFonts w:ascii="Times New Roman" w:hAnsi="Times New Roman" w:eastAsia="方正仿宋_GBK" w:cs="方正仿宋_GBK"/>
          <w:sz w:val="32"/>
          <w:szCs w:val="32"/>
        </w:rPr>
        <w:t>0</w:t>
      </w:r>
      <w:r>
        <w:rPr>
          <w:rFonts w:ascii="Times New Roman" w:hAnsi="Times New Roman" w:eastAsia="方正仿宋_GBK" w:cs="方正仿宋_GBK"/>
          <w:sz w:val="32"/>
          <w:szCs w:val="32"/>
          <w:shd w:val="clear" w:color="auto" w:fill="FFFFFF"/>
        </w:rPr>
        <w:t>台（套）。</w:t>
      </w:r>
    </w:p>
    <w:p w14:paraId="1CB37B4C">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ascii="方正楷体_GBK" w:hAnsi="方正楷体_GBK" w:eastAsia="方正楷体_GBK" w:cs="方正楷体_GBK"/>
          <w:bCs/>
          <w:sz w:val="32"/>
          <w:szCs w:val="32"/>
          <w:shd w:val="clear" w:color="auto" w:fill="FFFFFF"/>
          <w:lang w:val="en-US" w:eastAsia="zh-CN" w:bidi="ar-SA"/>
        </w:rPr>
      </w:pPr>
      <w:r>
        <w:rPr>
          <w:rFonts w:hint="eastAsia" w:ascii="方正楷体_GBK" w:hAnsi="方正楷体_GBK" w:eastAsia="方正楷体_GBK" w:cs="方正楷体_GBK"/>
          <w:bCs/>
          <w:sz w:val="32"/>
          <w:szCs w:val="32"/>
          <w:shd w:val="clear" w:color="auto" w:fill="FFFFFF"/>
          <w:lang w:val="en-US" w:eastAsia="zh-CN" w:bidi="ar-SA"/>
        </w:rPr>
        <w:t>（四）政府采购支出情况说明</w:t>
      </w:r>
    </w:p>
    <w:p w14:paraId="29A094E0">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eastAsia" w:ascii="Times New Roman" w:hAnsi="Times New Roman" w:eastAsia="方正仿宋_GBK" w:cs="方正仿宋_GBK"/>
          <w:color w:val="auto"/>
          <w:sz w:val="32"/>
          <w:szCs w:val="32"/>
          <w:shd w:val="clear" w:color="auto" w:fill="FFFFFF"/>
          <w:lang w:val="en-US" w:eastAsia="zh-CN" w:bidi="ar-SA"/>
        </w:rPr>
      </w:pPr>
      <w:r>
        <w:rPr>
          <w:rFonts w:hint="eastAsia" w:ascii="Times New Roman" w:hAnsi="Times New Roman" w:eastAsia="方正仿宋_GBK" w:cs="方正仿宋_GBK"/>
          <w:color w:val="auto"/>
          <w:sz w:val="32"/>
          <w:szCs w:val="32"/>
          <w:shd w:val="clear" w:color="auto" w:fill="FFFFFF"/>
          <w:lang w:val="en-US" w:eastAsia="zh-CN" w:bidi="ar-SA"/>
        </w:rPr>
        <w:t>2023年度我单位未发生政府采购事项，无相关经费支出。</w:t>
      </w:r>
    </w:p>
    <w:p w14:paraId="203F0250">
      <w:pPr>
        <w:pStyle w:val="2"/>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default"/>
          <w:shd w:val="clear"/>
        </w:rPr>
      </w:pPr>
      <w:r>
        <w:rPr>
          <w:rFonts w:hint="eastAsia"/>
          <w:shd w:val="clear"/>
          <w:lang w:val="en-US" w:eastAsia="zh-CN"/>
        </w:rPr>
        <w:t>五、</w:t>
      </w:r>
      <w:r>
        <w:rPr>
          <w:rFonts w:hint="eastAsia"/>
          <w:shd w:val="clear"/>
        </w:rPr>
        <w:t>预算绩效管理情况说明</w:t>
      </w:r>
    </w:p>
    <w:p w14:paraId="065528FB">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ascii="方正楷体_GBK" w:hAnsi="方正楷体_GBK" w:eastAsia="方正楷体_GBK" w:cs="方正楷体_GBK"/>
          <w:bCs/>
          <w:sz w:val="32"/>
          <w:szCs w:val="32"/>
          <w:shd w:val="clear" w:color="auto" w:fill="FFFFFF"/>
          <w:lang w:val="en-US" w:eastAsia="zh-CN" w:bidi="ar-SA"/>
        </w:rPr>
      </w:pPr>
      <w:r>
        <w:rPr>
          <w:rFonts w:hint="eastAsia" w:ascii="方正楷体_GBK" w:hAnsi="方正楷体_GBK" w:eastAsia="方正楷体_GBK" w:cs="方正楷体_GBK"/>
          <w:bCs/>
          <w:sz w:val="32"/>
          <w:szCs w:val="32"/>
          <w:shd w:val="clear" w:color="auto" w:fill="FFFFFF"/>
          <w:lang w:val="en-US" w:eastAsia="zh-CN" w:bidi="ar-SA"/>
        </w:rPr>
        <w:t>（一）单位自评情况</w:t>
      </w:r>
    </w:p>
    <w:p w14:paraId="13EA3251">
      <w:pPr>
        <w:pStyle w:val="10"/>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default" w:ascii="Times New Roman" w:hAnsi="Times New Roman" w:eastAsia="方正仿宋_GBK" w:cs="方正仿宋_GBK"/>
          <w:sz w:val="32"/>
          <w:szCs w:val="32"/>
          <w:highlight w:val="none"/>
          <w:shd w:val="clear" w:color="auto" w:fill="FFFFFF"/>
          <w:lang w:val="en-US" w:eastAsia="zh-CN"/>
        </w:rPr>
      </w:pPr>
      <w:r>
        <w:rPr>
          <w:rFonts w:hint="eastAsia" w:ascii="Times New Roman" w:hAnsi="Times New Roman" w:eastAsia="方正仿宋_GBK" w:cs="方正仿宋_GBK"/>
          <w:sz w:val="32"/>
          <w:szCs w:val="32"/>
          <w:highlight w:val="none"/>
          <w:shd w:val="clear" w:color="auto" w:fill="FFFFFF"/>
          <w:lang w:val="en-US" w:eastAsia="zh-CN"/>
        </w:rPr>
        <w:t>我单位无项目支出，故无单位自评。</w:t>
      </w:r>
    </w:p>
    <w:p w14:paraId="250DB163">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ascii="方正楷体_GBK" w:hAnsi="方正楷体_GBK" w:eastAsia="方正楷体_GBK" w:cs="方正楷体_GBK"/>
          <w:bCs/>
          <w:sz w:val="32"/>
          <w:szCs w:val="32"/>
          <w:shd w:val="clear" w:color="auto" w:fill="FFFFFF"/>
          <w:lang w:val="en-US" w:eastAsia="zh-CN" w:bidi="ar-SA"/>
        </w:rPr>
      </w:pPr>
      <w:r>
        <w:rPr>
          <w:rFonts w:hint="eastAsia" w:ascii="方正楷体_GBK" w:hAnsi="方正楷体_GBK" w:eastAsia="方正楷体_GBK" w:cs="方正楷体_GBK"/>
          <w:bCs/>
          <w:sz w:val="32"/>
          <w:szCs w:val="32"/>
          <w:shd w:val="clear" w:color="auto" w:fill="FFFFFF"/>
          <w:lang w:val="en-US" w:eastAsia="zh-CN" w:bidi="ar-SA"/>
        </w:rPr>
        <w:t>（二）单位绩效评价情况</w:t>
      </w:r>
    </w:p>
    <w:p w14:paraId="4A95B793">
      <w:pPr>
        <w:pStyle w:val="10"/>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hint="eastAsia" w:ascii="Times New Roman" w:hAnsi="Times New Roman" w:eastAsia="方正仿宋_GBK" w:cs="方正仿宋_GBK"/>
          <w:sz w:val="32"/>
          <w:szCs w:val="32"/>
          <w:highlight w:val="none"/>
          <w:shd w:val="clear" w:color="auto" w:fill="FFFFFF"/>
          <w:lang w:val="en-US" w:eastAsia="zh-CN"/>
        </w:rPr>
      </w:pPr>
      <w:r>
        <w:rPr>
          <w:rFonts w:hint="eastAsia" w:ascii="Times New Roman" w:hAnsi="Times New Roman" w:eastAsia="方正仿宋_GBK" w:cs="方正仿宋_GBK"/>
          <w:sz w:val="32"/>
          <w:szCs w:val="32"/>
          <w:highlight w:val="none"/>
          <w:shd w:val="clear" w:color="auto" w:fill="FFFFFF"/>
          <w:lang w:val="en-US" w:eastAsia="zh-CN"/>
        </w:rPr>
        <w:t>我单位未组织开展绩效评价。</w:t>
      </w:r>
    </w:p>
    <w:p w14:paraId="0EF6FDD6">
      <w:pPr>
        <w:pStyle w:val="4"/>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eastAsia" w:ascii="方正楷体_GBK" w:hAnsi="方正楷体_GBK" w:eastAsia="方正楷体_GBK" w:cs="方正楷体_GBK"/>
          <w:bCs/>
          <w:sz w:val="32"/>
          <w:szCs w:val="32"/>
          <w:shd w:val="clear" w:color="auto" w:fill="FFFFFF"/>
          <w:lang w:val="en-US" w:eastAsia="zh-CN" w:bidi="ar-SA"/>
        </w:rPr>
      </w:pPr>
      <w:r>
        <w:rPr>
          <w:rFonts w:hint="eastAsia" w:ascii="方正楷体_GBK" w:hAnsi="方正楷体_GBK" w:eastAsia="方正楷体_GBK" w:cs="方正楷体_GBK"/>
          <w:bCs/>
          <w:sz w:val="32"/>
          <w:szCs w:val="32"/>
          <w:shd w:val="clear" w:color="auto" w:fill="FFFFFF"/>
          <w:lang w:val="en-US" w:eastAsia="zh-CN" w:bidi="ar-SA"/>
        </w:rPr>
        <w:t>（三）财政绩效评价情况</w:t>
      </w:r>
    </w:p>
    <w:p w14:paraId="56E21759">
      <w:pPr>
        <w:pStyle w:val="10"/>
        <w:keepNext w:val="0"/>
        <w:keepLines w:val="0"/>
        <w:pageBreakBefore w:val="0"/>
        <w:widowControl/>
        <w:shd w:val="clear"/>
        <w:kinsoku/>
        <w:wordWrap/>
        <w:overflowPunct/>
        <w:topLinePunct w:val="0"/>
        <w:autoSpaceDE w:val="0"/>
        <w:autoSpaceDN/>
        <w:bidi w:val="0"/>
        <w:adjustRightInd/>
        <w:spacing w:beforeAutospacing="0" w:afterAutospacing="0" w:line="594" w:lineRule="exact"/>
        <w:ind w:left="0" w:firstLine="640" w:firstLineChars="200"/>
        <w:textAlignment w:val="auto"/>
        <w:rPr>
          <w:rFonts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highlight w:val="none"/>
          <w:shd w:val="clear" w:color="auto" w:fill="FFFFFF"/>
          <w:lang w:val="en-US" w:eastAsia="zh-CN"/>
        </w:rPr>
        <w:t>区财政局未委托第三方对我单位开展绩效评价。</w:t>
      </w:r>
    </w:p>
    <w:p w14:paraId="291DDAB3">
      <w:pPr>
        <w:pStyle w:val="2"/>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default"/>
          <w:shd w:val="clear"/>
        </w:rPr>
      </w:pPr>
      <w:r>
        <w:rPr>
          <w:rFonts w:hint="eastAsia"/>
          <w:shd w:val="clear"/>
        </w:rPr>
        <w:t>六、专业名词解释</w:t>
      </w:r>
    </w:p>
    <w:p w14:paraId="6AD54CDC">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（一）财政拨款收入：</w:t>
      </w:r>
      <w:r>
        <w:rPr>
          <w:rFonts w:ascii="Times New Roman" w:hAnsi="Times New Roman" w:eastAsia="方正仿宋_GBK" w:cs="方正仿宋_GBK"/>
          <w:sz w:val="32"/>
          <w:szCs w:val="32"/>
          <w:shd w:val="clear" w:color="auto" w:fill="FFFFFF"/>
        </w:rPr>
        <w:t>指本年度从本级财政部门取得的财政拨款，包括一般公共预算财政拨款和政府性基金预算财政拨款。</w:t>
      </w:r>
    </w:p>
    <w:p w14:paraId="579E6EEF">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（二）事业收入：</w:t>
      </w:r>
      <w:r>
        <w:rPr>
          <w:rFonts w:ascii="Times New Roman" w:hAnsi="Times New Roman"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375A83F8">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（三）经营收入：</w:t>
      </w:r>
      <w:r>
        <w:rPr>
          <w:rFonts w:ascii="Times New Roman" w:hAnsi="Times New Roman" w:eastAsia="方正仿宋_GBK" w:cs="方正仿宋_GBK"/>
          <w:sz w:val="32"/>
          <w:szCs w:val="32"/>
          <w:shd w:val="clear" w:color="auto" w:fill="FFFFFF"/>
        </w:rPr>
        <w:t>指事业单位在专业业务活动及其辅助活动之外开展非独立核算经营活动取得的现金流入。</w:t>
      </w:r>
    </w:p>
    <w:p w14:paraId="38596428">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（四）其他收入</w:t>
      </w:r>
      <w:r>
        <w:rPr>
          <w:rFonts w:hint="eastAsia"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2B812D6B">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（五）使用非财政拨款结余：</w:t>
      </w:r>
      <w:r>
        <w:rPr>
          <w:rFonts w:hint="eastAsia"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179C10B0">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（六）年初结转和结余：</w:t>
      </w:r>
      <w:r>
        <w:rPr>
          <w:rFonts w:hint="eastAsia" w:ascii="方正仿宋_GBK" w:hAnsi="方正仿宋_GBK" w:eastAsia="方正仿宋_GBK" w:cs="方正仿宋_GBK"/>
          <w:sz w:val="32"/>
          <w:szCs w:val="32"/>
          <w:shd w:val="clear" w:color="auto" w:fill="FFFFFF"/>
        </w:rPr>
        <w:t>指单位上年结转本年使用的基本支出结转、项目支出结转和结余、经营结余。</w:t>
      </w:r>
    </w:p>
    <w:p w14:paraId="3C0CD4D3">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（七）结余分配：</w:t>
      </w:r>
      <w:r>
        <w:rPr>
          <w:rFonts w:hint="eastAsia"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4D7B47B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（八）年末结转和结余：</w:t>
      </w:r>
      <w:r>
        <w:rPr>
          <w:rFonts w:hint="eastAsia" w:ascii="方正仿宋_GBK" w:hAnsi="方正仿宋_GBK" w:eastAsia="方正仿宋_GBK" w:cs="方正仿宋_GBK"/>
          <w:sz w:val="32"/>
          <w:szCs w:val="32"/>
          <w:shd w:val="clear" w:color="auto" w:fill="FFFFFF"/>
        </w:rPr>
        <w:t>指单位结转下年的基本支出结转、项目支出结转和结余、经营结余。</w:t>
      </w:r>
    </w:p>
    <w:p w14:paraId="1B93CB5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（九）基本支出：</w:t>
      </w:r>
      <w:r>
        <w:rPr>
          <w:rFonts w:hint="eastAsia"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D44554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（十）项目支出：</w:t>
      </w:r>
      <w:r>
        <w:rPr>
          <w:rFonts w:hint="eastAsia" w:ascii="方正仿宋_GBK" w:hAnsi="方正仿宋_GBK" w:eastAsia="方正仿宋_GBK" w:cs="方正仿宋_GBK"/>
          <w:sz w:val="32"/>
          <w:szCs w:val="32"/>
          <w:shd w:val="clear" w:color="auto" w:fill="FFFFFF"/>
        </w:rPr>
        <w:t>指在基本支出之外为完成特定行政任务和事业发展目标所发生的支出。</w:t>
      </w:r>
    </w:p>
    <w:p w14:paraId="19A76672">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rPr>
      </w:pPr>
      <w:r>
        <w:rPr>
          <w:rFonts w:hint="eastAsia" w:ascii="方正楷体_GBK" w:hAnsi="方正楷体_GBK" w:eastAsia="方正楷体_GBK" w:cs="方正楷体_GBK"/>
          <w:b w:val="0"/>
          <w:bCs w:val="0"/>
          <w:sz w:val="32"/>
          <w:szCs w:val="32"/>
          <w:shd w:val="clear" w:color="auto" w:fill="FFFFFF"/>
        </w:rPr>
        <w:t>（十一）经营支出：</w:t>
      </w:r>
      <w:r>
        <w:rPr>
          <w:rFonts w:hint="eastAsia"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5FE59126">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（十二）“三公”经费：</w:t>
      </w:r>
      <w:r>
        <w:rPr>
          <w:rFonts w:hint="eastAsia"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39691CAF">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（十三）机关运行经费：</w:t>
      </w:r>
      <w:r>
        <w:rPr>
          <w:rFonts w:hint="eastAsia"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39CDA6E3">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（十四）工资福利支出（支出经济分类科目类级）：</w:t>
      </w:r>
      <w:r>
        <w:rPr>
          <w:rFonts w:hint="eastAsia"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0DDAEA9E">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（十五）商品和服务支出（支出经济分类科目类级）：</w:t>
      </w:r>
      <w:r>
        <w:rPr>
          <w:rFonts w:hint="eastAsia"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2D9137ED">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（十六）对个人和家庭的补助（支出经济分类科目类级）：</w:t>
      </w:r>
      <w:r>
        <w:rPr>
          <w:rFonts w:hint="eastAsia" w:ascii="方正仿宋_GBK" w:hAnsi="方正仿宋_GBK" w:eastAsia="方正仿宋_GBK" w:cs="方正仿宋_GBK"/>
          <w:sz w:val="32"/>
          <w:szCs w:val="32"/>
          <w:shd w:val="clear" w:color="auto" w:fill="FFFFFF"/>
        </w:rPr>
        <w:t>反映用于对个人和家庭的补助支出。</w:t>
      </w:r>
    </w:p>
    <w:p w14:paraId="6CF53D24">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（十七）其他资本性支出（支出经济分类科目类级）：</w:t>
      </w:r>
      <w:r>
        <w:rPr>
          <w:rFonts w:hint="eastAsia"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31B92338">
      <w:pPr>
        <w:pStyle w:val="2"/>
        <w:keepNext w:val="0"/>
        <w:keepLines w:val="0"/>
        <w:pageBreakBefore w:val="0"/>
        <w:widowControl/>
        <w:shd w:val="clear" w:color="auto"/>
        <w:kinsoku/>
        <w:wordWrap/>
        <w:overflowPunct/>
        <w:topLinePunct w:val="0"/>
        <w:autoSpaceDN/>
        <w:bidi w:val="0"/>
        <w:adjustRightInd/>
        <w:spacing w:before="0" w:line="594" w:lineRule="exact"/>
        <w:ind w:firstLine="640" w:firstLineChars="200"/>
        <w:textAlignment w:val="auto"/>
        <w:rPr>
          <w:rFonts w:hint="default"/>
          <w:shd w:val="clear"/>
        </w:rPr>
      </w:pPr>
      <w:r>
        <w:rPr>
          <w:rFonts w:hint="eastAsia"/>
          <w:shd w:val="clear"/>
        </w:rPr>
        <w:t>七、决算公开联系方式及信息反馈渠道</w:t>
      </w:r>
    </w:p>
    <w:p w14:paraId="45E40C2C">
      <w:pPr>
        <w:pStyle w:val="10"/>
        <w:keepNext w:val="0"/>
        <w:keepLines w:val="0"/>
        <w:pageBreakBefore w:val="0"/>
        <w:widowControl/>
        <w:shd w:val="clear"/>
        <w:kinsoku/>
        <w:wordWrap/>
        <w:overflowPunct/>
        <w:topLinePunct w:val="0"/>
        <w:autoSpaceDE w:val="0"/>
        <w:autoSpaceDN/>
        <w:bidi w:val="0"/>
        <w:adjustRightInd/>
        <w:snapToGrid/>
        <w:spacing w:beforeAutospacing="0" w:afterAutospacing="0" w:line="594" w:lineRule="exact"/>
        <w:ind w:firstLine="640" w:firstLineChars="200"/>
        <w:textAlignment w:val="auto"/>
        <w:rPr>
          <w:rFonts w:hint="eastAsia" w:ascii="Times New Roman" w:hAnsi="Times New Roman" w:eastAsia="方正仿宋_GBK" w:cs="方正仿宋_GBK"/>
          <w:sz w:val="32"/>
          <w:szCs w:val="32"/>
          <w:highlight w:val="none"/>
          <w:shd w:val="clear" w:color="auto" w:fill="FFFFFF"/>
        </w:rPr>
      </w:pPr>
      <w:r>
        <w:rPr>
          <w:rFonts w:hint="eastAsia" w:ascii="Times New Roman" w:hAnsi="Times New Roman" w:eastAsia="方正仿宋_GBK" w:cs="方正仿宋_GBK"/>
          <w:sz w:val="32"/>
          <w:szCs w:val="32"/>
          <w:highlight w:val="none"/>
          <w:shd w:val="clear" w:color="auto" w:fill="FFFFFF"/>
        </w:rPr>
        <w:t>本单位决算公开信息反馈和联系方式：</w:t>
      </w:r>
    </w:p>
    <w:p w14:paraId="22BC2202">
      <w:pPr>
        <w:pStyle w:val="10"/>
        <w:keepNext w:val="0"/>
        <w:keepLines w:val="0"/>
        <w:pageBreakBefore w:val="0"/>
        <w:widowControl/>
        <w:shd w:val="clear"/>
        <w:kinsoku/>
        <w:wordWrap/>
        <w:overflowPunct/>
        <w:topLinePunct w:val="0"/>
        <w:autoSpaceDE w:val="0"/>
        <w:autoSpaceDN/>
        <w:bidi w:val="0"/>
        <w:adjustRightInd/>
        <w:snapToGrid/>
        <w:spacing w:beforeAutospacing="0" w:afterAutospacing="0" w:line="594" w:lineRule="exact"/>
        <w:ind w:firstLine="640" w:firstLineChars="200"/>
        <w:textAlignment w:val="auto"/>
        <w:rPr>
          <w:rFonts w:hint="eastAsia" w:ascii="Times New Roman" w:hAnsi="Times New Roman" w:eastAsia="方正仿宋_GBK" w:cs="Times New Roman"/>
          <w:b w:val="0"/>
          <w:i w:val="0"/>
          <w:caps w:val="0"/>
          <w:color w:val="333333"/>
          <w:spacing w:val="0"/>
          <w:sz w:val="32"/>
          <w:szCs w:val="32"/>
          <w:shd w:val="clear" w:color="auto" w:fill="FFFFFF"/>
          <w:lang w:val="en-US" w:eastAsia="zh-CN"/>
        </w:rPr>
      </w:pPr>
      <w:r>
        <w:rPr>
          <w:rFonts w:hint="eastAsia" w:ascii="Times New Roman" w:hAnsi="Times New Roman" w:eastAsia="方正仿宋_GBK" w:cs="Times New Roman"/>
          <w:b w:val="0"/>
          <w:i w:val="0"/>
          <w:caps w:val="0"/>
          <w:color w:val="333333"/>
          <w:spacing w:val="0"/>
          <w:sz w:val="32"/>
          <w:szCs w:val="32"/>
          <w:shd w:val="clear" w:color="auto" w:fill="FFFFFF"/>
          <w:lang w:eastAsia="zh-CN"/>
        </w:rPr>
        <w:t>联系人：黎勇</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 xml:space="preserve">  </w:t>
      </w:r>
      <w:r>
        <w:rPr>
          <w:rFonts w:hint="eastAsia" w:ascii="Times New Roman" w:hAnsi="Times New Roman" w:eastAsia="方正仿宋_GBK" w:cs="Times New Roman"/>
          <w:b w:val="0"/>
          <w:i w:val="0"/>
          <w:caps w:val="0"/>
          <w:color w:val="333333"/>
          <w:spacing w:val="0"/>
          <w:sz w:val="32"/>
          <w:szCs w:val="32"/>
          <w:shd w:val="clear" w:color="auto" w:fill="FFFFFF"/>
          <w:lang w:eastAsia="zh-CN"/>
        </w:rPr>
        <w:t>联系方式：</w:t>
      </w:r>
      <w:r>
        <w:rPr>
          <w:rFonts w:hint="default" w:ascii="Times New Roman" w:hAnsi="Times New Roman" w:eastAsia="方正仿宋_GBK" w:cs="Times New Roman"/>
          <w:b w:val="0"/>
          <w:i w:val="0"/>
          <w:caps w:val="0"/>
          <w:color w:val="333333"/>
          <w:spacing w:val="0"/>
          <w:sz w:val="32"/>
          <w:szCs w:val="32"/>
          <w:shd w:val="clear" w:color="auto" w:fill="FFFFFF"/>
        </w:rPr>
        <w:t>023-434525</w:t>
      </w:r>
      <w:r>
        <w:rPr>
          <w:rFonts w:hint="eastAsia" w:ascii="Times New Roman" w:hAnsi="Times New Roman" w:eastAsia="方正仿宋_GBK" w:cs="Times New Roman"/>
          <w:b w:val="0"/>
          <w:i w:val="0"/>
          <w:caps w:val="0"/>
          <w:color w:val="333333"/>
          <w:spacing w:val="0"/>
          <w:sz w:val="32"/>
          <w:szCs w:val="32"/>
          <w:shd w:val="clear" w:color="auto" w:fill="FFFFFF"/>
          <w:lang w:val="en-US" w:eastAsia="zh-CN"/>
        </w:rPr>
        <w:t>00</w:t>
      </w:r>
    </w:p>
    <w:p w14:paraId="2795CD78">
      <w:pPr>
        <w:pStyle w:val="3"/>
        <w:keepNext w:val="0"/>
        <w:keepLines w:val="0"/>
        <w:pageBreakBefore w:val="0"/>
        <w:widowControl/>
        <w:shd w:val="clear"/>
        <w:kinsoku/>
        <w:wordWrap/>
        <w:overflowPunct/>
        <w:topLinePunct w:val="0"/>
        <w:autoSpaceDN/>
        <w:bidi w:val="0"/>
        <w:adjustRightInd/>
        <w:snapToGrid w:val="0"/>
        <w:spacing w:before="0" w:beforeAutospacing="0" w:after="0" w:afterAutospacing="0" w:line="594" w:lineRule="exact"/>
        <w:ind w:left="0" w:firstLine="640" w:firstLineChars="200"/>
        <w:jc w:val="both"/>
        <w:textAlignment w:val="auto"/>
        <w:rPr>
          <w:rFonts w:hint="default" w:ascii="Times New Roman" w:hAnsi="Times New Roman" w:eastAsia="方正仿宋_GBK" w:cs="方正仿宋_GBK"/>
          <w:sz w:val="32"/>
          <w:szCs w:val="32"/>
          <w:shd w:val="clear" w:color="auto" w:fill="FFFFFF"/>
        </w:rPr>
      </w:pPr>
    </w:p>
    <w:p w14:paraId="624A3605">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sz w:val="32"/>
          <w:szCs w:val="32"/>
        </w:rPr>
      </w:pPr>
      <w:bookmarkStart w:id="0" w:name="_GoBack"/>
      <w:bookmarkEnd w:id="0"/>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5C77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201B272">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201B272">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DUwODRjNDJkZDNiNTgyZGRhZjk2NjA2ZmIwODMifQ=="/>
  </w:docVars>
  <w:rsids>
    <w:rsidRoot w:val="359C3108"/>
    <w:rsid w:val="13E250F3"/>
    <w:rsid w:val="359C3108"/>
    <w:rsid w:val="373C0021"/>
    <w:rsid w:val="3A52627F"/>
    <w:rsid w:val="46C422B2"/>
    <w:rsid w:val="517F5754"/>
    <w:rsid w:val="6F8C3791"/>
    <w:rsid w:val="75371D1E"/>
    <w:rsid w:val="794E5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shd w:val="clear" w:color="auto" w:fill="FFFFFF"/>
      <w:spacing w:beforeAutospacing="0" w:after="0" w:afterAutospacing="0" w:line="594" w:lineRule="atLeast"/>
      <w:outlineLvl w:val="0"/>
    </w:pPr>
    <w:rPr>
      <w:rFonts w:ascii="方正黑体_GBK" w:hAnsi="方正黑体_GBK" w:eastAsia="方正黑体_GBK" w:cs="方正黑体_GBK"/>
      <w:bCs/>
      <w:sz w:val="32"/>
      <w:szCs w:val="32"/>
      <w:shd w:val="clear" w:color="auto" w:fill="FFFFFF"/>
    </w:rPr>
  </w:style>
  <w:style w:type="paragraph" w:styleId="4">
    <w:name w:val="heading 2"/>
    <w:basedOn w:val="3"/>
    <w:next w:val="1"/>
    <w:qFormat/>
    <w:uiPriority w:val="0"/>
    <w:pPr>
      <w:shd w:val="clear" w:color="auto" w:fill="FFFFFF"/>
      <w:spacing w:beforeAutospacing="0" w:after="0" w:afterAutospacing="0" w:line="594" w:lineRule="atLeast"/>
      <w:ind w:firstLine="420"/>
      <w:outlineLvl w:val="1"/>
    </w:pPr>
    <w:rPr>
      <w:rFonts w:ascii="方正楷体_GBK" w:hAnsi="方正楷体_GBK" w:eastAsia="方正楷体_GBK" w:cs="方正楷体_GBK"/>
      <w:bCs/>
      <w:sz w:val="32"/>
      <w:szCs w:val="32"/>
      <w:shd w:val="clear" w:color="auto" w:fill="FFFFFF"/>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0"/>
    <w:pPr>
      <w:spacing w:before="100" w:beforeAutospacing="1" w:after="100" w:afterAutospacing="1"/>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qFormat/>
    <w:uiPriority w:val="0"/>
    <w:rPr>
      <w:b/>
    </w:rPr>
  </w:style>
  <w:style w:type="paragraph" w:customStyle="1" w:styleId="10">
    <w:name w:val="列出段落1"/>
    <w:basedOn w:val="1"/>
    <w:autoRedefine/>
    <w:qFormat/>
    <w:uiPriority w:val="99"/>
    <w:pPr>
      <w:ind w:firstLine="420" w:firstLineChars="200"/>
    </w:pPr>
    <w:rPr>
      <w:rFonts w:hint="defaul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2024-10-21T03:24:00Z</dcterms:created>
  <dc:creator>Administrator</dc:creator>
  <cp:lastModifiedBy>Administrator</cp:lastModifiedBy>
  <dcterms:modified xsi:type="dcterms:W3CDTF">2024-10-21T06:30:49Z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FAAF1F5C3BDC476589B79DE49846C4FA_11</vt:lpwstr>
  </property>
</Properties>
</file>