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ascii="方正小标宋_GBK" w:hAnsi="方正小标宋_GBK" w:eastAsia="方正小标宋_GBK" w:cs="方正小标宋_GBK"/>
          <w:sz w:val="36"/>
          <w:szCs w:val="36"/>
        </w:rPr>
      </w:pPr>
      <w:r>
        <w:rPr>
          <w:rFonts w:ascii="方正小标宋_GBK" w:hAnsi="方正小标宋_GBK" w:eastAsia="方正小标宋_GBK" w:cs="方正小标宋_GBK"/>
          <w:sz w:val="36"/>
          <w:szCs w:val="36"/>
        </w:rPr>
        <w:t>重庆市大足区回龙镇村镇建设服务中心</w:t>
      </w:r>
    </w:p>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（1）承担城镇建设、村镇建设、农村住房质量安全的事务性工作；承担自建项目（含农村建设项目、农村综合开发项目）及配套建设的事务性工作。</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（2）承担住房及物业、市容市貌（含村容村貌）、环境卫生、园林绿化、市政公用设施、自然生态环境保护、污染监测防治的事务性工作。</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（3）承担交通建设和道路绿化养护及交通运输等领域的事务性工作。</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（4）负责建设统计年报和档案管理工作。</w:t>
      </w:r>
    </w:p>
    <w:p>
      <w:pPr>
        <w:pStyle w:val="6"/>
        <w:shd w:val="clear" w:color="auto" w:fill="FFFFFF"/>
        <w:ind w:firstLine="420"/>
        <w:rPr>
          <w:rFonts w:hint="default" w:ascii="楷体" w:hAnsi="楷体" w:eastAsia="楷体" w:cs="楷体"/>
          <w:color w:val="auto"/>
          <w:sz w:val="32"/>
          <w:szCs w:val="32"/>
        </w:rPr>
      </w:pPr>
      <w:r>
        <w:rPr>
          <w:rStyle w:val="10"/>
          <w:rFonts w:ascii="楷体" w:hAnsi="楷体" w:eastAsia="楷体" w:cs="楷体"/>
          <w:color w:val="auto"/>
          <w:sz w:val="32"/>
          <w:szCs w:val="32"/>
          <w:shd w:val="clear" w:color="auto" w:fill="FFFFFF"/>
        </w:rPr>
        <w:t>（二）机构设置</w:t>
      </w:r>
    </w:p>
    <w:p>
      <w:pPr>
        <w:pStyle w:val="6"/>
        <w:shd w:val="clear" w:color="auto" w:fill="FFFFFF"/>
        <w:ind w:firstLine="640" w:firstLineChars="20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重庆市大足区回龙镇村镇建设服务中心隶属于重庆市大足区回龙镇人民政府，公益一类事业单位。</w:t>
      </w:r>
    </w:p>
    <w:p>
      <w:pPr>
        <w:pStyle w:val="6"/>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二、单位决算情况说明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2023年度收入总计49.81万元，支出总计</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万元。收支较上年决算数增加49.81万元，增长100.00%，主要原因是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2023年度收入合计49.81万元，较上年决算数增加49.81万元，增长100.00%，主要原因是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万元，占0.00%；其他收入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万元，占0.00%。此外，使用非财政拨款结余和专用结余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万元，较上年决算数增加49.81万元，增长100.00%，主要原因是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万元，占100.00%；项目支出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万元，占0.00%。此外，结余分配</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2023年度财政拨款收、支总计49.81万元。与2022年相比，财政拨款收、支总计各增加49.81万元，增长100.00%。主要原因是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万元，较上年决算数增加49.81万元，增长100.00%。主要原因是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较年初预算数增加1.68万元，增长3.49%。主要原因是</w:t>
      </w:r>
      <w:r>
        <w:rPr>
          <w:rFonts w:hint="eastAsia" w:ascii="方正仿宋_GBK" w:hAnsi="方正仿宋_GBK" w:eastAsia="方正仿宋_GBK" w:cs="方正仿宋_GBK"/>
          <w:color w:val="auto"/>
          <w:sz w:val="32"/>
          <w:szCs w:val="32"/>
          <w:shd w:val="clear" w:color="auto" w:fill="FFFFFF"/>
          <w:lang w:eastAsia="zh-CN"/>
        </w:rPr>
        <w:t>人员正常晋升工资等次。</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万元，较上年决算数增加49.81万元，增长100.00%。主要原因是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较年初预算数增加1.68万元，增长3.49%。主要原因是</w:t>
      </w:r>
      <w:r>
        <w:rPr>
          <w:rFonts w:hint="eastAsia" w:ascii="方正仿宋_GBK" w:hAnsi="方正仿宋_GBK" w:eastAsia="方正仿宋_GBK" w:cs="方正仿宋_GBK"/>
          <w:color w:val="auto"/>
          <w:sz w:val="32"/>
          <w:szCs w:val="32"/>
          <w:shd w:val="clear" w:color="auto" w:fill="FFFFFF"/>
          <w:lang w:eastAsia="zh-CN"/>
        </w:rPr>
        <w:t>人员正常晋升工资等次</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highlight w:val="cyan"/>
          <w:shd w:val="clear" w:color="auto" w:fill="FFFFFF"/>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w:t>
      </w:r>
      <w:r>
        <w:rPr>
          <w:rFonts w:ascii="方正仿宋_GBK" w:hAnsi="方正仿宋_GBK" w:eastAsia="方正仿宋_GBK" w:cs="方正仿宋_GBK"/>
          <w:color w:val="auto"/>
          <w:sz w:val="32"/>
          <w:szCs w:val="32"/>
          <w:shd w:val="clear" w:color="auto" w:fill="FFFFFF"/>
        </w:rPr>
        <w:t>）社会保障与就业支出</w:t>
      </w:r>
      <w:r>
        <w:rPr>
          <w:rFonts w:ascii="方正仿宋_GBK" w:hAnsi="方正仿宋_GBK" w:eastAsia="方正仿宋_GBK" w:cs="方正仿宋_GBK"/>
          <w:color w:val="auto"/>
          <w:sz w:val="32"/>
          <w:szCs w:val="32"/>
        </w:rPr>
        <w:t>7.33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14.71</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严格按照人员数量及工资标准预算支出人员社会保险缴费。</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2.47</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4.95</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医疗</w:t>
      </w:r>
      <w:r>
        <w:rPr>
          <w:rFonts w:hint="eastAsia" w:ascii="方正仿宋_GBK" w:hAnsi="方正仿宋_GBK" w:eastAsia="方正仿宋_GBK" w:cs="方正仿宋_GBK"/>
          <w:color w:val="auto"/>
          <w:sz w:val="32"/>
          <w:szCs w:val="32"/>
          <w:shd w:val="clear" w:color="auto" w:fill="FFFFFF"/>
        </w:rPr>
        <w:t>保险缴费。</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）城乡社区支出</w:t>
      </w:r>
      <w:r>
        <w:rPr>
          <w:rFonts w:ascii="方正仿宋_GBK" w:hAnsi="方正仿宋_GBK" w:eastAsia="方正仿宋_GBK" w:cs="方正仿宋_GBK"/>
          <w:color w:val="auto"/>
          <w:sz w:val="32"/>
          <w:szCs w:val="32"/>
        </w:rPr>
        <w:t>37.63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75.55</w:t>
      </w:r>
      <w:r>
        <w:rPr>
          <w:rFonts w:ascii="方正仿宋_GBK" w:hAnsi="方正仿宋_GBK" w:eastAsia="方正仿宋_GBK" w:cs="方正仿宋_GBK"/>
          <w:color w:val="auto"/>
          <w:sz w:val="32"/>
          <w:szCs w:val="32"/>
          <w:shd w:val="clear" w:color="auto" w:fill="FFFFFF"/>
        </w:rPr>
        <w:t>%，较年初预算数增加1.68万元，增长4.67%，主要原因是</w:t>
      </w:r>
      <w:r>
        <w:rPr>
          <w:rFonts w:hint="eastAsia" w:ascii="方正仿宋_GBK" w:hAnsi="方正仿宋_GBK" w:eastAsia="方正仿宋_GBK" w:cs="方正仿宋_GBK"/>
          <w:color w:val="auto"/>
          <w:sz w:val="32"/>
          <w:szCs w:val="32"/>
          <w:shd w:val="clear" w:color="auto" w:fill="FFFFFF"/>
          <w:lang w:eastAsia="zh-CN"/>
        </w:rPr>
        <w:t>人员正常晋升工资等次。</w:t>
      </w:r>
    </w:p>
    <w:p>
      <w:pPr>
        <w:ind w:firstLine="640" w:firstLineChars="200"/>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住房保障支出2.38</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4.79</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住房公积金</w:t>
      </w:r>
      <w:r>
        <w:rPr>
          <w:rFonts w:hint="eastAsia" w:ascii="方正仿宋_GBK" w:hAnsi="方正仿宋_GBK" w:eastAsia="方正仿宋_GBK" w:cs="方正仿宋_GBK"/>
          <w:color w:val="auto"/>
          <w:sz w:val="32"/>
          <w:szCs w:val="32"/>
          <w:shd w:val="clear" w:color="auto" w:fill="FFFFFF"/>
        </w:rPr>
        <w:t>缴费</w:t>
      </w:r>
      <w:r>
        <w:rPr>
          <w:rFonts w:ascii="方正仿宋_GBK" w:hAnsi="方正仿宋_GBK" w:eastAsia="方正仿宋_GBK" w:cs="方正仿宋_GBK"/>
          <w:color w:val="auto"/>
          <w:sz w:val="32"/>
          <w:szCs w:val="32"/>
          <w:shd w:val="clear" w:color="auto" w:fill="FFFFFF"/>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49.81</w:t>
      </w:r>
      <w:r>
        <w:rPr>
          <w:rFonts w:ascii="方正仿宋_GBK" w:hAnsi="方正仿宋_GBK" w:eastAsia="方正仿宋_GBK" w:cs="方正仿宋_GBK"/>
          <w:color w:val="auto"/>
          <w:sz w:val="32"/>
          <w:szCs w:val="32"/>
          <w:shd w:val="clear" w:color="auto" w:fill="FFFFFF"/>
        </w:rPr>
        <w:t>万元，较上年决算数增加49.81万元，增长100.00%，主要原因是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hAnsi="方正仿宋_GBK" w:eastAsia="方正仿宋_GBK" w:cs="方正仿宋_GBK"/>
          <w:color w:val="auto"/>
          <w:sz w:val="32"/>
          <w:szCs w:val="32"/>
          <w:shd w:val="clear" w:color="auto" w:fill="FFFFFF"/>
        </w:rPr>
        <w:t>基本工资、津贴补贴、绩效工资、社会保障缴费、住房公积金。</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auto"/>
        </w:rPr>
      </w:pPr>
      <w:r>
        <w:rPr>
          <w:rStyle w:val="10"/>
          <w:rFonts w:ascii="方正仿宋_GBK" w:hAnsi="方正仿宋_GBK" w:eastAsia="方正仿宋_GBK" w:cs="方正仿宋_GBK"/>
          <w:sz w:val="32"/>
          <w:szCs w:val="32"/>
          <w:shd w:val="clear" w:color="auto" w:fill="auto"/>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auto"/>
        </w:rPr>
      </w:pPr>
      <w:r>
        <w:rPr>
          <w:rStyle w:val="10"/>
          <w:rFonts w:ascii="方正仿宋_GBK" w:hAnsi="方正仿宋_GBK" w:eastAsia="方正仿宋_GBK" w:cs="方正仿宋_GBK"/>
          <w:sz w:val="32"/>
          <w:szCs w:val="32"/>
          <w:shd w:val="clear" w:color="auto" w:fill="auto"/>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2023年度“三公”经费支出共计</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万元，较年初预算数无增减，主要原因是</w:t>
      </w:r>
      <w:r>
        <w:rPr>
          <w:rFonts w:hint="eastAsia" w:ascii="方正仿宋_GBK" w:hAnsi="方正仿宋_GBK" w:eastAsia="方正仿宋_GBK" w:cs="方正仿宋_GBK"/>
          <w:color w:val="auto"/>
          <w:sz w:val="32"/>
          <w:szCs w:val="32"/>
          <w:shd w:val="clear" w:color="auto" w:fill="FFFFFF"/>
        </w:rPr>
        <w:t>本单位与行政单位合署办公，年初编制预算时统一将办公经费编制在行政单位账套下，因此未有单独体现。</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pStyle w:val="11"/>
        <w:autoSpaceDE w:val="0"/>
        <w:ind w:firstLine="643"/>
        <w:rPr>
          <w:rFonts w:ascii="楷体" w:hAnsi="楷体" w:eastAsia="楷体" w:cs="楷体"/>
          <w:b/>
          <w:bCs/>
          <w:sz w:val="32"/>
          <w:szCs w:val="32"/>
          <w:shd w:val="clear" w:color="auto" w:fill="FFFFFF"/>
        </w:rPr>
      </w:pPr>
      <w:r>
        <w:rPr>
          <w:rFonts w:hint="eastAsia" w:ascii="方正仿宋_GBK" w:hAnsi="方正仿宋_GBK" w:eastAsia="方正仿宋_GBK" w:cs="方正仿宋_GBK"/>
          <w:sz w:val="32"/>
          <w:szCs w:val="32"/>
          <w:shd w:val="clear" w:color="auto" w:fill="FFFFFF"/>
        </w:rPr>
        <w:t>本单位与行政单位合署办公，年初编制预算及使用时统一将因公出国（境）费用、公务车购置费、公务车运行维护费、公务接待费编制在行政单位账套下，因此未有单独体现。</w:t>
      </w: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万元，较上年决算数无增减。本年度培训费支出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万元，较上年决算数无变化。</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hint="default" w:ascii="方正仿宋_GBK" w:hAnsi="方正仿宋_GBK" w:eastAsia="方正仿宋_GBK" w:cs="方正仿宋_GBK"/>
          <w:color w:val="auto"/>
          <w:sz w:val="32"/>
          <w:szCs w:val="32"/>
        </w:rPr>
        <w:t>按照部门决算列报口径，我单位不在机关运行经费统计范围之内。</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（一）单位自评情况</w:t>
      </w:r>
    </w:p>
    <w:p>
      <w:pPr>
        <w:pStyle w:val="12"/>
        <w:autoSpaceDE w:val="0"/>
        <w:spacing w:before="0" w:beforeAutospacing="0" w:line="600" w:lineRule="exact"/>
        <w:rPr>
          <w:rFonts w:hint="eastAsia" w:ascii="方正仿宋_GBK" w:hAnsi="方正仿宋_GBK" w:eastAsia="方正仿宋_GBK" w:cs="方正仿宋_GBK"/>
          <w:color w:val="auto"/>
          <w:sz w:val="32"/>
          <w:szCs w:val="32"/>
          <w:highlight w:val="yellow"/>
          <w:shd w:val="clear" w:color="auto" w:fill="FFFFFF"/>
          <w:lang w:eastAsia="zh-CN"/>
        </w:rPr>
      </w:pPr>
      <w:r>
        <w:rPr>
          <w:rFonts w:hint="eastAsia" w:ascii="方正仿宋_GBK" w:hAnsi="方正仿宋_GBK" w:eastAsia="方正仿宋_GBK" w:cs="方正仿宋_GBK"/>
          <w:color w:val="auto"/>
          <w:sz w:val="32"/>
          <w:szCs w:val="32"/>
          <w:shd w:val="clear" w:color="auto" w:fill="FFFFFF"/>
        </w:rPr>
        <w:t>我单位</w:t>
      </w:r>
      <w:r>
        <w:rPr>
          <w:rFonts w:hint="eastAsia" w:ascii="方正仿宋_GBK" w:hAnsi="方正仿宋_GBK" w:eastAsia="方正仿宋_GBK" w:cs="方正仿宋_GBK"/>
          <w:color w:val="auto"/>
          <w:sz w:val="32"/>
          <w:szCs w:val="32"/>
          <w:shd w:val="clear" w:color="auto" w:fill="FFFFFF"/>
          <w:lang w:eastAsia="zh-CN"/>
        </w:rPr>
        <w:t>未无项目支出，故无单位自评。</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（二）单位绩效评价情况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我单位未组织开展绩效评价。</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（三）财政绩效评价情况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区</w:t>
      </w:r>
      <w:r>
        <w:rPr>
          <w:rFonts w:hint="eastAsia" w:ascii="方正仿宋_GBK" w:hAnsi="方正仿宋_GBK" w:eastAsia="方正仿宋_GBK" w:cs="方正仿宋_GBK"/>
          <w:color w:val="auto"/>
          <w:sz w:val="32"/>
          <w:szCs w:val="32"/>
          <w:shd w:val="clear" w:color="auto" w:fill="FFFFFF"/>
        </w:rPr>
        <w:t>财政局未委托第三方对我单位开展绩效评价。</w:t>
      </w:r>
    </w:p>
    <w:p>
      <w:pPr>
        <w:pStyle w:val="6"/>
        <w:shd w:val="clear" w:color="auto" w:fill="FFFFFF"/>
        <w:rPr>
          <w:rStyle w:val="10"/>
          <w:rFonts w:hint="default" w:ascii="方正仿宋_GBK" w:hAnsi="方正仿宋_GBK" w:eastAsia="方正仿宋_GBK" w:cs="方正仿宋_GBK"/>
          <w:sz w:val="32"/>
          <w:szCs w:val="32"/>
          <w:shd w:val="clear" w:color="auto" w:fill="FFFFFF"/>
        </w:rPr>
      </w:pPr>
      <w:bookmarkStart w:id="0" w:name="_GoBack"/>
      <w:bookmarkEnd w:id="0"/>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w:t>
      </w:r>
      <w:r>
        <w:rPr>
          <w:rFonts w:ascii="方正仿宋_GBK" w:hAnsi="方正仿宋_GBK" w:eastAsia="方正仿宋_GBK" w:cs="方正仿宋_GBK"/>
          <w:color w:val="auto"/>
          <w:sz w:val="32"/>
          <w:szCs w:val="32"/>
          <w:shd w:val="clear" w:color="auto" w:fill="FFFFFF"/>
        </w:rPr>
        <w:t>方式：023-</w:t>
      </w:r>
      <w:r>
        <w:rPr>
          <w:rFonts w:hint="eastAsia" w:ascii="方正仿宋_GBK" w:hAnsi="方正仿宋_GBK" w:eastAsia="方正仿宋_GBK" w:cs="方正仿宋_GBK"/>
          <w:color w:val="auto"/>
          <w:sz w:val="32"/>
          <w:szCs w:val="32"/>
          <w:shd w:val="clear" w:color="auto" w:fill="FFFFFF"/>
          <w:lang w:val="en-US" w:eastAsia="zh-CN"/>
        </w:rPr>
        <w:t>43406001</w:t>
      </w:r>
    </w:p>
    <w:p>
      <w:pPr>
        <w:pStyle w:val="11"/>
        <w:autoSpaceDE w:val="0"/>
        <w:ind w:firstLine="0" w:firstLineChars="0"/>
        <w:rPr>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重庆市大足区回龙镇村镇建设服务中心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49.81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7.33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2.47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37.63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49.81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49.81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49.81</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49.81</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重庆市大足区回龙镇村镇建设服务中心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49.81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49.81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7.27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7.27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37.63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37.63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重庆市大足区回龙镇村镇建设服务中心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49.81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49.81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7.27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7.27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2.47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37.63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37.63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37.63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重庆市大足区回龙镇村镇建设服务中心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7.33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7.33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37.63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37.63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重庆市大足区回龙镇村镇建设服务中心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49.81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49.81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7.27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7.27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3.18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3.18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1.59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1.59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2.47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2.47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2.47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2.47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37.63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37.63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37.63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37.63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37.63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37.63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重庆市大足区回龙镇村镇建设服务中心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47.31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10.96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2.16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24.50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49.81</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重庆市大足区回龙镇村镇建设服务中心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重庆市大足区回龙镇村镇建设服务中心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重庆市大足区回龙镇村镇建设服务中心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M4MmIyMDUzZWVjZTVjYjMzZDAxZmRhOTAxODZjODk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EE5606B"/>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90F095A"/>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autoRedefine/>
    <w:qFormat/>
    <w:uiPriority w:val="0"/>
    <w:pPr>
      <w:tabs>
        <w:tab w:val="center" w:pos="4153"/>
        <w:tab w:val="right" w:pos="8306"/>
      </w:tabs>
      <w:snapToGrid w:val="0"/>
    </w:pPr>
    <w:rPr>
      <w:sz w:val="18"/>
      <w:szCs w:val="18"/>
    </w:rPr>
  </w:style>
  <w:style w:type="paragraph" w:styleId="4">
    <w:name w:val="header"/>
    <w:basedOn w:val="1"/>
    <w:autoRedefine/>
    <w:qFormat/>
    <w:uiPriority w:val="0"/>
    <w:pP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autoRedefine/>
    <w:unhideWhenUsed/>
    <w:qFormat/>
    <w:uiPriority w:val="0"/>
    <w:pPr>
      <w:spacing w:before="100" w:beforeAutospacing="1" w:after="100" w:afterAutospacing="1"/>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autoRedefine/>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autoRedefine/>
    <w:qFormat/>
    <w:uiPriority w:val="0"/>
    <w:rPr>
      <w:rFonts w:hint="default" w:ascii="Wingdings" w:hAnsi="Wingdings" w:cs="Wingdings"/>
      <w:b/>
      <w:bCs/>
    </w:rPr>
  </w:style>
  <w:style w:type="paragraph" w:customStyle="1" w:styleId="14">
    <w:name w:val="列出段落2"/>
    <w:autoRedefine/>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autoRedefine/>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2024-10-17T02:14:19Z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