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hint="default" w:ascii="方正小标宋_GBK" w:hAnsi="方正小标宋_GBK" w:eastAsia="方正小标宋_GBK" w:cs="方正小标宋_GBK"/>
          <w:color w:val="auto"/>
          <w:sz w:val="36"/>
          <w:szCs w:val="36"/>
          <w:shd w:val="clear" w:color="auto" w:fill="FFFFFF"/>
        </w:rPr>
      </w:pPr>
      <w:r>
        <w:rPr>
          <w:rFonts w:ascii="方正小标宋_GBK" w:hAnsi="方正小标宋_GBK" w:eastAsia="方正小标宋_GBK" w:cs="方正小标宋_GBK"/>
          <w:color w:val="auto"/>
          <w:sz w:val="36"/>
          <w:szCs w:val="36"/>
        </w:rPr>
        <w:t>重庆市大足区回龙镇劳动就业和社会保障服务所</w:t>
      </w:r>
      <w:r>
        <w:rPr>
          <w:rFonts w:ascii="方正小标宋_GBK" w:hAnsi="方正小标宋_GBK" w:eastAsia="方正小标宋_GBK" w:cs="方正小标宋_GBK"/>
          <w:color w:val="auto"/>
          <w:sz w:val="36"/>
          <w:szCs w:val="36"/>
          <w:shd w:val="clear" w:color="auto" w:fill="FFFFFF"/>
        </w:rPr>
        <w:t>2023年度决算公开说明</w:t>
      </w:r>
    </w:p>
    <w:p>
      <w:pPr>
        <w:pStyle w:val="6"/>
        <w:shd w:val="clear" w:color="auto" w:fill="FFFFFF"/>
        <w:rPr>
          <w:rFonts w:hint="default" w:ascii="黑体" w:hAnsi="黑体" w:eastAsia="黑体" w:cs="黑体"/>
          <w:color w:val="auto"/>
          <w:sz w:val="32"/>
          <w:szCs w:val="32"/>
        </w:rPr>
      </w:pPr>
      <w:r>
        <w:rPr>
          <w:rStyle w:val="10"/>
          <w:rFonts w:ascii="黑体" w:hAnsi="黑体" w:eastAsia="黑体" w:cs="黑体"/>
          <w:color w:val="auto"/>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（一）职能职责</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（1）承担劳动、就业创业、农民工综合服务、农村劳动力转移等事务性工作。</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（2）承担养老保险、失业保险、医疗保险、工伤保险、生育保险、城镇居民最低生活保障、优抚救济、社会救助、医疗救助、残疾人保障、老龄工作等方面的事务性工作。</w:t>
      </w:r>
    </w:p>
    <w:p>
      <w:pPr>
        <w:pStyle w:val="6"/>
        <w:shd w:val="clear" w:color="auto" w:fill="FFFFFF"/>
        <w:ind w:firstLine="420"/>
        <w:rPr>
          <w:rFonts w:hint="default" w:ascii="楷体" w:hAnsi="楷体" w:eastAsia="楷体" w:cs="楷体"/>
          <w:color w:val="auto"/>
          <w:sz w:val="32"/>
          <w:szCs w:val="32"/>
        </w:rPr>
      </w:pPr>
      <w:r>
        <w:rPr>
          <w:rStyle w:val="10"/>
          <w:rFonts w:ascii="楷体" w:hAnsi="楷体" w:eastAsia="楷体" w:cs="楷体"/>
          <w:color w:val="auto"/>
          <w:sz w:val="32"/>
          <w:szCs w:val="32"/>
          <w:shd w:val="clear" w:color="auto" w:fill="FFFFFF"/>
        </w:rPr>
        <w:t>（二）机构设置</w:t>
      </w:r>
    </w:p>
    <w:p>
      <w:pPr>
        <w:pStyle w:val="6"/>
        <w:shd w:val="clear" w:color="auto" w:fill="FFFFFF"/>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重庆市大足区回龙镇劳动就业和社会保障服务所隶属于重庆市大足区回龙镇人民政府，公益一类事业单位</w:t>
      </w:r>
    </w:p>
    <w:p>
      <w:pPr>
        <w:pStyle w:val="6"/>
        <w:shd w:val="clear" w:color="auto" w:fill="FFFFFF"/>
        <w:rPr>
          <w:rFonts w:hint="default" w:ascii="方正仿宋_GBK" w:hAnsi="方正仿宋_GBK" w:eastAsia="方正仿宋_GBK" w:cs="方正仿宋_GBK"/>
          <w:color w:val="auto"/>
          <w:sz w:val="32"/>
          <w:szCs w:val="32"/>
        </w:rPr>
      </w:pPr>
      <w:r>
        <w:rPr>
          <w:rStyle w:val="10"/>
          <w:rFonts w:ascii="黑体" w:hAnsi="黑体" w:eastAsia="黑体" w:cs="黑体"/>
          <w:color w:val="auto"/>
          <w:sz w:val="32"/>
          <w:szCs w:val="32"/>
          <w:shd w:val="clear" w:color="auto" w:fill="FFFFFF"/>
        </w:rPr>
        <w:t>二、单位决算情况说明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（一）收入支出决算总体情况说明。</w:t>
      </w:r>
    </w:p>
    <w:p>
      <w:pPr>
        <w:pStyle w:val="6"/>
        <w:shd w:val="clear" w:color="auto" w:fill="FFFFFF"/>
        <w:ind w:firstLine="643" w:firstLineChars="200"/>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1.总体情况。</w:t>
      </w:r>
      <w:r>
        <w:rPr>
          <w:rFonts w:ascii="方正仿宋_GBK" w:hAnsi="方正仿宋_GBK" w:eastAsia="方正仿宋_GBK" w:cs="方正仿宋_GBK"/>
          <w:color w:val="auto"/>
          <w:sz w:val="32"/>
          <w:szCs w:val="32"/>
          <w:shd w:val="clear" w:color="auto" w:fill="FFFFFF"/>
        </w:rPr>
        <w:t>2023年度收入总计71.11万元，支出总计</w:t>
      </w:r>
      <w:r>
        <w:rPr>
          <w:rFonts w:ascii="方正仿宋_GBK" w:hAnsi="方正仿宋_GBK" w:eastAsia="方正仿宋_GBK" w:cs="方正仿宋_GBK"/>
          <w:color w:val="auto"/>
          <w:sz w:val="32"/>
          <w:szCs w:val="32"/>
        </w:rPr>
        <w:t>71.11</w:t>
      </w:r>
      <w:r>
        <w:rPr>
          <w:rFonts w:ascii="方正仿宋_GBK" w:hAnsi="方正仿宋_GBK" w:eastAsia="方正仿宋_GBK" w:cs="方正仿宋_GBK"/>
          <w:color w:val="auto"/>
          <w:sz w:val="32"/>
          <w:szCs w:val="32"/>
          <w:shd w:val="clear" w:color="auto" w:fill="FFFFFF"/>
        </w:rPr>
        <w:t>万元。收支较上年决算数增加71.11万元，增长100.00%，主要原因是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2.收入情况。</w:t>
      </w:r>
      <w:r>
        <w:rPr>
          <w:rFonts w:ascii="方正仿宋_GBK" w:hAnsi="方正仿宋_GBK" w:eastAsia="方正仿宋_GBK" w:cs="方正仿宋_GBK"/>
          <w:color w:val="auto"/>
          <w:sz w:val="32"/>
          <w:szCs w:val="32"/>
          <w:shd w:val="clear" w:color="auto" w:fill="FFFFFF"/>
        </w:rPr>
        <w:t>2023年度收入合计71.11万元，较上年决算数增加71.11万元，增长100.00%，主要原因是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其中：财政拨款收入</w:t>
      </w:r>
      <w:r>
        <w:rPr>
          <w:rFonts w:ascii="方正仿宋_GBK" w:hAnsi="方正仿宋_GBK" w:eastAsia="方正仿宋_GBK" w:cs="方正仿宋_GBK"/>
          <w:color w:val="auto"/>
          <w:sz w:val="32"/>
          <w:szCs w:val="32"/>
        </w:rPr>
        <w:t>71.11</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100.00</w:t>
      </w:r>
      <w:r>
        <w:rPr>
          <w:rFonts w:ascii="方正仿宋_GBK" w:hAnsi="方正仿宋_GBK" w:eastAsia="方正仿宋_GBK" w:cs="方正仿宋_GBK"/>
          <w:color w:val="auto"/>
          <w:sz w:val="32"/>
          <w:szCs w:val="32"/>
          <w:shd w:val="clear" w:color="auto" w:fill="FFFFFF"/>
        </w:rPr>
        <w:t>%；事业收入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万元，占0.00%；其他收入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万元，占0.00%。此外，使用非财政拨款结余和专用结余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万元，年初结转和结余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3.支出情况。</w:t>
      </w:r>
      <w:r>
        <w:rPr>
          <w:rFonts w:ascii="方正仿宋_GBK" w:hAnsi="方正仿宋_GBK" w:eastAsia="方正仿宋_GBK" w:cs="方正仿宋_GBK"/>
          <w:color w:val="auto"/>
          <w:sz w:val="32"/>
          <w:szCs w:val="32"/>
          <w:shd w:val="clear" w:color="auto" w:fill="FFFFFF"/>
        </w:rPr>
        <w:t>2023年度支出合计</w:t>
      </w:r>
      <w:r>
        <w:rPr>
          <w:rFonts w:ascii="方正仿宋_GBK" w:hAnsi="方正仿宋_GBK" w:eastAsia="方正仿宋_GBK" w:cs="方正仿宋_GBK"/>
          <w:color w:val="auto"/>
          <w:sz w:val="32"/>
          <w:szCs w:val="32"/>
        </w:rPr>
        <w:t>71.11</w:t>
      </w:r>
      <w:r>
        <w:rPr>
          <w:rFonts w:ascii="方正仿宋_GBK" w:hAnsi="方正仿宋_GBK" w:eastAsia="方正仿宋_GBK" w:cs="方正仿宋_GBK"/>
          <w:color w:val="auto"/>
          <w:sz w:val="32"/>
          <w:szCs w:val="32"/>
          <w:shd w:val="clear" w:color="auto" w:fill="FFFFFF"/>
        </w:rPr>
        <w:t>万元，较上年决算数增加71.11万元，增长100.00%，主要原因是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其中：基本支出</w:t>
      </w:r>
      <w:r>
        <w:rPr>
          <w:rFonts w:ascii="方正仿宋_GBK" w:hAnsi="方正仿宋_GBK" w:eastAsia="方正仿宋_GBK" w:cs="方正仿宋_GBK"/>
          <w:color w:val="auto"/>
          <w:sz w:val="32"/>
          <w:szCs w:val="32"/>
        </w:rPr>
        <w:t>71.11</w:t>
      </w:r>
      <w:r>
        <w:rPr>
          <w:rFonts w:ascii="方正仿宋_GBK" w:hAnsi="方正仿宋_GBK" w:eastAsia="方正仿宋_GBK" w:cs="方正仿宋_GBK"/>
          <w:color w:val="auto"/>
          <w:sz w:val="32"/>
          <w:szCs w:val="32"/>
          <w:shd w:val="clear" w:color="auto" w:fill="FFFFFF"/>
        </w:rPr>
        <w:t>万元，占100.00%；项目支出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万元，占0.00%。此外，结余分配</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4.结转结余情况。</w:t>
      </w:r>
      <w:r>
        <w:rPr>
          <w:rFonts w:ascii="方正仿宋_GBK" w:hAnsi="方正仿宋_GBK" w:eastAsia="方正仿宋_GBK" w:cs="方正仿宋_GBK"/>
          <w:color w:val="auto"/>
          <w:sz w:val="32"/>
          <w:szCs w:val="32"/>
          <w:shd w:val="clear" w:color="auto" w:fill="FFFFFF"/>
        </w:rPr>
        <w:t>2023年度年末结转和结余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（二）财政拨款收入支出决算总体情况说明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2023年度财政拨款收、支总计71.11万元。与2022年相比，财政拨款收、支总计各增加71.11万元，增长100.00%。主要原因是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1.收入情况。</w:t>
      </w:r>
      <w:r>
        <w:rPr>
          <w:rFonts w:ascii="方正仿宋_GBK" w:hAnsi="方正仿宋_GBK" w:eastAsia="方正仿宋_GBK" w:cs="方正仿宋_GBK"/>
          <w:color w:val="auto"/>
          <w:sz w:val="32"/>
          <w:szCs w:val="32"/>
          <w:shd w:val="clear" w:color="auto" w:fill="FFFFFF"/>
        </w:rPr>
        <w:t>2023年度一般公共预算财政拨款收入</w:t>
      </w:r>
      <w:r>
        <w:rPr>
          <w:rFonts w:ascii="方正仿宋_GBK" w:hAnsi="方正仿宋_GBK" w:eastAsia="方正仿宋_GBK" w:cs="方正仿宋_GBK"/>
          <w:color w:val="auto"/>
          <w:sz w:val="32"/>
          <w:szCs w:val="32"/>
        </w:rPr>
        <w:t>71.11</w:t>
      </w:r>
      <w:r>
        <w:rPr>
          <w:rFonts w:ascii="方正仿宋_GBK" w:hAnsi="方正仿宋_GBK" w:eastAsia="方正仿宋_GBK" w:cs="方正仿宋_GBK"/>
          <w:color w:val="auto"/>
          <w:sz w:val="32"/>
          <w:szCs w:val="32"/>
          <w:shd w:val="clear" w:color="auto" w:fill="FFFFFF"/>
        </w:rPr>
        <w:t>万元，较上年决算数增加71.11万元，增长100.00%。主要原因是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较年初预算数减少1.48万元，下降2.04%。主要原因是</w:t>
      </w:r>
      <w:r>
        <w:rPr>
          <w:rFonts w:hint="eastAsia" w:ascii="方正仿宋_GBK" w:hAnsi="方正仿宋_GBK" w:eastAsia="方正仿宋_GBK" w:cs="方正仿宋_GBK"/>
          <w:color w:val="auto"/>
          <w:sz w:val="32"/>
          <w:szCs w:val="32"/>
          <w:shd w:val="clear" w:color="auto" w:fill="FFFFFF"/>
          <w:lang w:eastAsia="zh-CN"/>
        </w:rPr>
        <w:t>人员变动</w:t>
      </w:r>
      <w:r>
        <w:rPr>
          <w:rFonts w:ascii="方正仿宋_GBK" w:hAnsi="方正仿宋_GBK" w:eastAsia="方正仿宋_GBK" w:cs="方正仿宋_GBK"/>
          <w:color w:val="auto"/>
          <w:sz w:val="32"/>
          <w:szCs w:val="32"/>
          <w:shd w:val="clear" w:color="auto" w:fill="FFFFFF"/>
        </w:rPr>
        <w:t>。此外，年初财政拨款结转和结余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2.支出情况。</w:t>
      </w:r>
      <w:r>
        <w:rPr>
          <w:rFonts w:ascii="方正仿宋_GBK" w:hAnsi="方正仿宋_GBK" w:eastAsia="方正仿宋_GBK" w:cs="方正仿宋_GBK"/>
          <w:color w:val="auto"/>
          <w:sz w:val="32"/>
          <w:szCs w:val="32"/>
          <w:shd w:val="clear" w:color="auto" w:fill="FFFFFF"/>
        </w:rPr>
        <w:t>2023年度一般公共预算财政拨款支出</w:t>
      </w:r>
      <w:r>
        <w:rPr>
          <w:rFonts w:ascii="方正仿宋_GBK" w:hAnsi="方正仿宋_GBK" w:eastAsia="方正仿宋_GBK" w:cs="方正仿宋_GBK"/>
          <w:color w:val="auto"/>
          <w:sz w:val="32"/>
          <w:szCs w:val="32"/>
        </w:rPr>
        <w:t>71.11</w:t>
      </w:r>
      <w:r>
        <w:rPr>
          <w:rFonts w:ascii="方正仿宋_GBK" w:hAnsi="方正仿宋_GBK" w:eastAsia="方正仿宋_GBK" w:cs="方正仿宋_GBK"/>
          <w:color w:val="auto"/>
          <w:sz w:val="32"/>
          <w:szCs w:val="32"/>
          <w:shd w:val="clear" w:color="auto" w:fill="FFFFFF"/>
        </w:rPr>
        <w:t>万元，较上年决算数增加71.11万元，增长100.00%。主要原因是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较年初预算数减少1.48万元，下降2.04%。主要原因是</w:t>
      </w:r>
      <w:r>
        <w:rPr>
          <w:rFonts w:hint="eastAsia" w:ascii="方正仿宋_GBK" w:hAnsi="方正仿宋_GBK" w:eastAsia="方正仿宋_GBK" w:cs="方正仿宋_GBK"/>
          <w:color w:val="auto"/>
          <w:sz w:val="32"/>
          <w:szCs w:val="32"/>
          <w:shd w:val="clear" w:color="auto" w:fill="FFFFFF"/>
          <w:lang w:eastAsia="zh-CN"/>
        </w:rPr>
        <w:t>人员变动</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3.结转结余情况。</w:t>
      </w:r>
      <w:r>
        <w:rPr>
          <w:rFonts w:ascii="方正仿宋_GBK" w:hAnsi="方正仿宋_GBK" w:eastAsia="方正仿宋_GBK" w:cs="方正仿宋_GBK"/>
          <w:color w:val="auto"/>
          <w:sz w:val="32"/>
          <w:szCs w:val="32"/>
          <w:shd w:val="clear" w:color="auto" w:fill="FFFFFF"/>
        </w:rPr>
        <w:t>2023年度年末一般公共预算财政拨款结转和结余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xml:space="preserve"> 4.比较情况。</w:t>
      </w:r>
      <w:r>
        <w:rPr>
          <w:rFonts w:ascii="方正仿宋_GBK" w:hAnsi="方正仿宋_GBK" w:eastAsia="方正仿宋_GBK" w:cs="方正仿宋_GBK"/>
          <w:color w:val="auto"/>
          <w:sz w:val="32"/>
          <w:szCs w:val="32"/>
          <w:shd w:val="clear" w:color="auto" w:fill="FFFFFF"/>
        </w:rPr>
        <w:t>本单位2023年度一般公共预算财政拨款支出主要用于以下几个方面：</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1</w:t>
      </w:r>
      <w:r>
        <w:rPr>
          <w:rFonts w:ascii="方正仿宋_GBK" w:hAnsi="方正仿宋_GBK" w:eastAsia="方正仿宋_GBK" w:cs="方正仿宋_GBK"/>
          <w:color w:val="auto"/>
          <w:sz w:val="32"/>
          <w:szCs w:val="32"/>
          <w:shd w:val="clear" w:color="auto" w:fill="FFFFFF"/>
        </w:rPr>
        <w:t>）社会保障与就业支出</w:t>
      </w:r>
      <w:r>
        <w:rPr>
          <w:rFonts w:ascii="方正仿宋_GBK" w:hAnsi="方正仿宋_GBK" w:eastAsia="方正仿宋_GBK" w:cs="方正仿宋_GBK"/>
          <w:color w:val="auto"/>
          <w:sz w:val="32"/>
          <w:szCs w:val="32"/>
        </w:rPr>
        <w:t>63.92</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89.89</w:t>
      </w:r>
      <w:r>
        <w:rPr>
          <w:rFonts w:ascii="方正仿宋_GBK" w:hAnsi="方正仿宋_GBK" w:eastAsia="方正仿宋_GBK" w:cs="方正仿宋_GBK"/>
          <w:color w:val="auto"/>
          <w:sz w:val="32"/>
          <w:szCs w:val="32"/>
          <w:shd w:val="clear" w:color="auto" w:fill="FFFFFF"/>
        </w:rPr>
        <w:t>%，较年初预算数减少1.48万元，下降2.26%，主要原因是</w:t>
      </w:r>
      <w:r>
        <w:rPr>
          <w:rFonts w:hint="eastAsia" w:ascii="方正仿宋_GBK" w:hAnsi="方正仿宋_GBK" w:eastAsia="方正仿宋_GBK" w:cs="方正仿宋_GBK"/>
          <w:color w:val="auto"/>
          <w:sz w:val="32"/>
          <w:szCs w:val="32"/>
          <w:shd w:val="clear" w:color="auto" w:fill="FFFFFF"/>
          <w:lang w:eastAsia="zh-CN"/>
        </w:rPr>
        <w:t>人员变动</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）卫生健康支出</w:t>
      </w:r>
      <w:r>
        <w:rPr>
          <w:rFonts w:ascii="方正仿宋_GBK" w:hAnsi="方正仿宋_GBK" w:eastAsia="方正仿宋_GBK" w:cs="方正仿宋_GBK"/>
          <w:color w:val="auto"/>
          <w:sz w:val="32"/>
          <w:szCs w:val="32"/>
        </w:rPr>
        <w:t>3.62</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5.09</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严格按照人员数量及工资标准预算支出人员医疗保险缴费</w:t>
      </w:r>
      <w:r>
        <w:rPr>
          <w:rFonts w:ascii="方正仿宋_GBK" w:hAnsi="方正仿宋_GBK" w:eastAsia="方正仿宋_GBK" w:cs="方正仿宋_GBK"/>
          <w:color w:val="auto"/>
          <w:sz w:val="32"/>
          <w:szCs w:val="32"/>
          <w:shd w:val="clear" w:color="auto" w:fill="FFFFFF"/>
        </w:rPr>
        <w:t>。</w:t>
      </w:r>
    </w:p>
    <w:p>
      <w:pPr>
        <w:ind w:firstLine="640" w:firstLineChars="200"/>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3</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住房保障支出3.57</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5.02</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严格按照人员数量及工资标准预算支出人员住房公积金缴费</w:t>
      </w:r>
      <w:r>
        <w:rPr>
          <w:rFonts w:hint="eastAsia" w:ascii="方正仿宋_GBK" w:hAnsi="方正仿宋_GBK" w:eastAsia="方正仿宋_GBK" w:cs="方正仿宋_GBK"/>
          <w:color w:val="auto"/>
          <w:sz w:val="32"/>
          <w:szCs w:val="32"/>
          <w:shd w:val="clear" w:color="auto" w:fill="FFFFFF"/>
          <w:lang w:eastAsia="zh-CN"/>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（四）一般公共预算财政拨款基本支出决算情况说明</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auto"/>
          <w:sz w:val="32"/>
          <w:szCs w:val="32"/>
          <w:lang w:eastAsia="zh-CN"/>
        </w:rPr>
      </w:pPr>
      <w:r>
        <w:rPr>
          <w:rFonts w:ascii="方正仿宋_GBK" w:hAnsi="方正仿宋_GBK" w:eastAsia="方正仿宋_GBK" w:cs="方正仿宋_GBK"/>
          <w:color w:val="auto"/>
          <w:sz w:val="32"/>
          <w:szCs w:val="32"/>
          <w:shd w:val="clear" w:color="auto" w:fill="FFFFFF"/>
        </w:rPr>
        <w:t> 2023年度一般公共财政拨款基本支出</w:t>
      </w:r>
      <w:r>
        <w:rPr>
          <w:rFonts w:ascii="方正仿宋_GBK" w:hAnsi="方正仿宋_GBK" w:eastAsia="方正仿宋_GBK" w:cs="方正仿宋_GBK"/>
          <w:color w:val="auto"/>
          <w:sz w:val="32"/>
          <w:szCs w:val="32"/>
        </w:rPr>
        <w:t>71.11</w:t>
      </w:r>
      <w:r>
        <w:rPr>
          <w:rFonts w:ascii="方正仿宋_GBK" w:hAnsi="方正仿宋_GBK" w:eastAsia="方正仿宋_GBK" w:cs="方正仿宋_GBK"/>
          <w:color w:val="auto"/>
          <w:sz w:val="32"/>
          <w:szCs w:val="32"/>
          <w:shd w:val="clear" w:color="auto" w:fill="FFFFFF"/>
        </w:rPr>
        <w:t>万元。其中：人员经费</w:t>
      </w:r>
      <w:r>
        <w:rPr>
          <w:rFonts w:ascii="方正仿宋_GBK" w:hAnsi="方正仿宋_GBK" w:eastAsia="方正仿宋_GBK" w:cs="方正仿宋_GBK"/>
          <w:color w:val="auto"/>
          <w:sz w:val="32"/>
          <w:szCs w:val="32"/>
        </w:rPr>
        <w:t>69.17</w:t>
      </w:r>
      <w:r>
        <w:rPr>
          <w:rFonts w:ascii="方正仿宋_GBK" w:hAnsi="方正仿宋_GBK" w:eastAsia="方正仿宋_GBK" w:cs="方正仿宋_GBK"/>
          <w:color w:val="auto"/>
          <w:sz w:val="32"/>
          <w:szCs w:val="32"/>
          <w:shd w:val="clear" w:color="auto" w:fill="FFFFFF"/>
        </w:rPr>
        <w:t>万元，较上年决算数增加69.17万元，增长100.00%，主要原因是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人员经费用途主要包括</w:t>
      </w:r>
      <w:r>
        <w:rPr>
          <w:rFonts w:hint="eastAsia" w:ascii="方正仿宋_GBK" w:hAnsi="方正仿宋_GBK" w:eastAsia="方正仿宋_GBK" w:cs="方正仿宋_GBK"/>
          <w:color w:val="auto"/>
          <w:sz w:val="32"/>
          <w:szCs w:val="32"/>
          <w:shd w:val="clear" w:color="auto" w:fill="FFFFFF"/>
        </w:rPr>
        <w:t>基本工资、津贴补贴、绩效工资、社会保障缴费、住房公积金。</w:t>
      </w:r>
      <w:r>
        <w:rPr>
          <w:rFonts w:ascii="方正仿宋_GBK" w:hAnsi="方正仿宋_GBK" w:eastAsia="方正仿宋_GBK" w:cs="方正仿宋_GBK"/>
          <w:color w:val="auto"/>
          <w:sz w:val="32"/>
          <w:szCs w:val="32"/>
          <w:shd w:val="clear" w:color="auto" w:fill="FFFFFF"/>
        </w:rPr>
        <w:t>公用经费</w:t>
      </w:r>
      <w:r>
        <w:rPr>
          <w:rFonts w:ascii="方正仿宋_GBK" w:hAnsi="方正仿宋_GBK" w:eastAsia="方正仿宋_GBK" w:cs="方正仿宋_GBK"/>
          <w:color w:val="auto"/>
          <w:sz w:val="32"/>
          <w:szCs w:val="32"/>
        </w:rPr>
        <w:t>1.93</w:t>
      </w:r>
      <w:r>
        <w:rPr>
          <w:rFonts w:ascii="方正仿宋_GBK" w:hAnsi="方正仿宋_GBK" w:eastAsia="方正仿宋_GBK" w:cs="方正仿宋_GBK"/>
          <w:color w:val="auto"/>
          <w:sz w:val="32"/>
          <w:szCs w:val="32"/>
          <w:shd w:val="clear" w:color="auto" w:fill="FFFFFF"/>
        </w:rPr>
        <w:t>万元，较上年决算数增加1.93万元，增长100.00%，主要原因是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公用经费用途主要包括</w:t>
      </w:r>
      <w:r>
        <w:rPr>
          <w:rFonts w:hint="eastAsia" w:ascii="方正仿宋_GBK" w:hAnsi="方正仿宋_GBK" w:eastAsia="方正仿宋_GBK" w:cs="方正仿宋_GBK"/>
          <w:color w:val="auto"/>
          <w:sz w:val="32"/>
          <w:szCs w:val="32"/>
          <w:shd w:val="clear" w:color="auto" w:fill="FFFFFF"/>
          <w:lang w:eastAsia="zh-CN"/>
        </w:rPr>
        <w:t>工会经费、培训费。</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（五）政府性基金预算收支决算情况说明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auto"/>
        </w:rPr>
      </w:pPr>
      <w:r>
        <w:rPr>
          <w:rStyle w:val="10"/>
          <w:rFonts w:ascii="方正仿宋_GBK" w:hAnsi="方正仿宋_GBK" w:eastAsia="方正仿宋_GBK" w:cs="方正仿宋_GBK"/>
          <w:color w:val="auto"/>
          <w:sz w:val="32"/>
          <w:szCs w:val="32"/>
          <w:shd w:val="clear" w:color="auto" w:fill="auto"/>
        </w:rPr>
        <w:t>本单位2023年度无政府性基金预算财政拨款收支。</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（六）国有资本经营预算财政拨款支出决算情况说明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shd w:val="clear" w:color="auto" w:fill="auto"/>
        </w:rPr>
      </w:pPr>
      <w:r>
        <w:rPr>
          <w:rFonts w:ascii="方正仿宋_GBK" w:hAnsi="方正仿宋_GBK" w:eastAsia="方正仿宋_GBK" w:cs="方正仿宋_GBK"/>
          <w:color w:val="auto"/>
          <w:sz w:val="32"/>
          <w:szCs w:val="32"/>
          <w:shd w:val="clear" w:color="auto" w:fill="auto"/>
        </w:rPr>
        <w:t> </w:t>
      </w:r>
      <w:r>
        <w:rPr>
          <w:rStyle w:val="10"/>
          <w:rFonts w:ascii="方正仿宋_GBK" w:hAnsi="方正仿宋_GBK" w:eastAsia="方正仿宋_GBK" w:cs="方正仿宋_GBK"/>
          <w:color w:val="auto"/>
          <w:sz w:val="32"/>
          <w:szCs w:val="32"/>
          <w:shd w:val="clear" w:color="auto" w:fill="auto"/>
        </w:rPr>
        <w:t>本单位2023年度无国有资本经营预算财政拨款支出。</w:t>
      </w:r>
    </w:p>
    <w:p>
      <w:pPr>
        <w:pStyle w:val="6"/>
        <w:shd w:val="clear" w:color="auto" w:fill="FFFFFF"/>
        <w:rPr>
          <w:rStyle w:val="10"/>
          <w:rFonts w:hint="default" w:ascii="黑体" w:hAnsi="黑体" w:eastAsia="黑体" w:cs="黑体"/>
          <w:color w:val="auto"/>
          <w:sz w:val="32"/>
          <w:szCs w:val="32"/>
          <w:shd w:val="clear" w:color="auto" w:fill="FFFFFF"/>
        </w:rPr>
      </w:pPr>
      <w:r>
        <w:rPr>
          <w:rStyle w:val="10"/>
          <w:rFonts w:ascii="黑体" w:hAnsi="黑体" w:eastAsia="黑体" w:cs="黑体"/>
          <w:color w:val="auto"/>
          <w:sz w:val="32"/>
          <w:szCs w:val="32"/>
          <w:shd w:val="clear" w:color="auto" w:fill="FFFFFF"/>
        </w:rPr>
        <w:t>三、“三公”经费情况说明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 xml:space="preserve"> （一）“三公”经费支出总体情况说明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2023年度“三公”经费支出共计</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万元，较年初预算数无增减，主要原因是</w:t>
      </w:r>
      <w:r>
        <w:rPr>
          <w:rFonts w:hint="eastAsia" w:ascii="方正仿宋_GBK" w:hAnsi="方正仿宋_GBK" w:eastAsia="方正仿宋_GBK" w:cs="方正仿宋_GBK"/>
          <w:color w:val="auto"/>
          <w:sz w:val="32"/>
          <w:szCs w:val="32"/>
          <w:shd w:val="clear" w:color="auto" w:fill="FFFFFF"/>
        </w:rPr>
        <w:t>本单位与行政单位合署办公，年初编制预算时统一将办公经费编制在行政单位账套下，因此未有单独体现。</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（二）“三公”经费分项支出情况</w:t>
      </w:r>
    </w:p>
    <w:p>
      <w:pPr>
        <w:pStyle w:val="11"/>
        <w:autoSpaceDE w:val="0"/>
        <w:ind w:firstLine="643"/>
        <w:rPr>
          <w:rFonts w:ascii="楷体" w:hAnsi="楷体" w:eastAsia="楷体" w:cs="楷体"/>
          <w:b/>
          <w:bCs/>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本单位与行政单位合署办公，年初编制预算及使用时统一将因公出国（境）费用、公务车购置费、公务车运行维护费、公务接待费编制在行政单位账套下，因此未有单独体现。</w:t>
      </w:r>
      <w:r>
        <w:rPr>
          <w:rFonts w:hint="eastAsia" w:ascii="楷体" w:hAnsi="楷体" w:eastAsia="楷体" w:cs="楷体"/>
          <w:b/>
          <w:bCs/>
          <w:color w:val="auto"/>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2023年度本单位因公出国（境）共计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个团组，</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人；公务用车购置</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辆，公务车保有量为</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辆；国内公务接待</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人，其中：国内外事接待</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人；国（境）外公务接待</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人。2023年本单位人均接待费</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元，车均购置费</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万元，车均维护费</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w:t>
      </w:r>
    </w:p>
    <w:p>
      <w:pPr>
        <w:pStyle w:val="6"/>
        <w:shd w:val="clear" w:color="auto" w:fill="FFFFFF"/>
        <w:rPr>
          <w:rStyle w:val="10"/>
          <w:rFonts w:hint="default" w:ascii="方正仿宋_GBK" w:hAnsi="方正仿宋_GBK" w:eastAsia="方正仿宋_GBK" w:cs="方正仿宋_GBK"/>
          <w:color w:val="auto"/>
          <w:sz w:val="32"/>
          <w:szCs w:val="32"/>
          <w:shd w:val="clear" w:color="auto" w:fill="FFFFFF"/>
        </w:rPr>
      </w:pPr>
      <w:r>
        <w:rPr>
          <w:rStyle w:val="10"/>
          <w:rFonts w:ascii="黑体" w:hAnsi="黑体" w:eastAsia="黑体" w:cs="黑体"/>
          <w:color w:val="auto"/>
          <w:sz w:val="32"/>
          <w:szCs w:val="32"/>
          <w:shd w:val="clear" w:color="auto" w:fill="FFFFFF"/>
        </w:rPr>
        <w:t>四、其他需要说明的事项</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  （一）财政拨款会议费和培训费情况说明</w:t>
      </w:r>
    </w:p>
    <w:p>
      <w:pPr>
        <w:pStyle w:val="6"/>
        <w:snapToGrid w:val="0"/>
        <w:spacing w:before="0" w:beforeAutospacing="0" w:after="0" w:afterAutospacing="0" w:line="600" w:lineRule="exact"/>
        <w:ind w:firstLine="1280" w:firstLineChars="400"/>
        <w:jc w:val="both"/>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  本年度会议费支出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万元，较上年决算数无增减。本年度培训费支出</w:t>
      </w:r>
      <w:r>
        <w:rPr>
          <w:rFonts w:ascii="方正仿宋_GBK" w:hAnsi="方正仿宋_GBK" w:eastAsia="方正仿宋_GBK" w:cs="方正仿宋_GBK"/>
          <w:color w:val="auto"/>
          <w:sz w:val="32"/>
          <w:szCs w:val="32"/>
        </w:rPr>
        <w:t>0.03</w:t>
      </w:r>
      <w:r>
        <w:rPr>
          <w:rFonts w:ascii="方正仿宋_GBK" w:hAnsi="方正仿宋_GBK" w:eastAsia="方正仿宋_GBK" w:cs="方正仿宋_GBK"/>
          <w:color w:val="auto"/>
          <w:sz w:val="32"/>
          <w:szCs w:val="32"/>
          <w:shd w:val="clear" w:color="auto" w:fill="FFFFFF"/>
        </w:rPr>
        <w:t>万元，较上年决算数增加0.03万元，增长100.00%，主要原因是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（二）机关运行经费情况说明</w:t>
      </w:r>
    </w:p>
    <w:p>
      <w:pPr>
        <w:pStyle w:val="11"/>
        <w:autoSpaceDE w:val="0"/>
        <w:ind w:firstLine="643"/>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按照部门决算列报口径，我单位不在机关运行经费统计范围之内。</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截至2023年12月31日，本单位共有车辆</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辆，其中，副部（省）级及以上领导用车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辆、主要负责人用车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辆、机要通信用车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辆、应急保障用车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辆、执法执勤用车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辆，特种专业技术用车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辆，离退休干部用车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辆。单价100万元（含）以上专用设备</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台（套）。</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（四）政府采购支出情况说明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2023年度我单位未发生政府采购事项，无相关经费支出。</w:t>
      </w:r>
    </w:p>
    <w:p>
      <w:pPr>
        <w:pStyle w:val="6"/>
        <w:numPr>
          <w:ilvl w:val="0"/>
          <w:numId w:val="1"/>
        </w:numPr>
        <w:shd w:val="clear" w:color="auto" w:fill="FFFFFF"/>
        <w:rPr>
          <w:rStyle w:val="10"/>
          <w:rFonts w:hint="default" w:ascii="黑体" w:hAnsi="黑体" w:eastAsia="黑体" w:cs="黑体"/>
          <w:color w:val="auto"/>
          <w:sz w:val="32"/>
          <w:szCs w:val="32"/>
          <w:shd w:val="clear" w:color="auto" w:fill="FFFFFF"/>
        </w:rPr>
      </w:pPr>
      <w:r>
        <w:rPr>
          <w:rStyle w:val="10"/>
          <w:rFonts w:ascii="黑体" w:hAnsi="黑体" w:eastAsia="黑体" w:cs="黑体"/>
          <w:color w:val="auto"/>
          <w:sz w:val="32"/>
          <w:szCs w:val="32"/>
          <w:shd w:val="clear" w:color="auto" w:fill="FFFFFF"/>
        </w:rPr>
        <w:t>预算绩效管理情况说明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（一）单位自评情况</w:t>
      </w:r>
    </w:p>
    <w:p>
      <w:pPr>
        <w:pStyle w:val="12"/>
        <w:autoSpaceDE w:val="0"/>
        <w:spacing w:before="0" w:beforeAutospacing="0" w:line="600" w:lineRule="exact"/>
        <w:rPr>
          <w:rFonts w:hint="eastAsia" w:ascii="方正仿宋_GBK" w:hAnsi="方正仿宋_GBK" w:eastAsia="方正仿宋_GBK" w:cs="方正仿宋_GBK"/>
          <w:color w:val="auto"/>
          <w:sz w:val="32"/>
          <w:szCs w:val="32"/>
          <w:highlight w:val="yellow"/>
          <w:shd w:val="clear" w:color="auto" w:fill="FFFFFF"/>
          <w:lang w:eastAsia="zh-CN"/>
        </w:rPr>
      </w:pPr>
      <w:r>
        <w:rPr>
          <w:rFonts w:hint="eastAsia" w:ascii="方正仿宋_GBK" w:hAnsi="方正仿宋_GBK" w:eastAsia="方正仿宋_GBK" w:cs="方正仿宋_GBK"/>
          <w:color w:val="auto"/>
          <w:sz w:val="32"/>
          <w:szCs w:val="32"/>
          <w:shd w:val="clear" w:color="auto" w:fill="FFFFFF"/>
        </w:rPr>
        <w:t>我单位</w:t>
      </w:r>
      <w:r>
        <w:rPr>
          <w:rFonts w:hint="eastAsia" w:ascii="方正仿宋_GBK" w:hAnsi="方正仿宋_GBK" w:eastAsia="方正仿宋_GBK" w:cs="方正仿宋_GBK"/>
          <w:color w:val="auto"/>
          <w:sz w:val="32"/>
          <w:szCs w:val="32"/>
          <w:shd w:val="clear" w:color="auto" w:fill="FFFFFF"/>
          <w:lang w:eastAsia="zh-CN"/>
        </w:rPr>
        <w:t>未无项目支出，故无单位自评。</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（二）单位绩效评价情况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我单位未组织开展绩效评价。</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（三）财政绩效评价情况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lang w:eastAsia="zh-CN"/>
        </w:rPr>
        <w:t>区</w:t>
      </w:r>
      <w:r>
        <w:rPr>
          <w:rFonts w:hint="eastAsia" w:ascii="方正仿宋_GBK" w:hAnsi="方正仿宋_GBK" w:eastAsia="方正仿宋_GBK" w:cs="方正仿宋_GBK"/>
          <w:color w:val="auto"/>
          <w:sz w:val="32"/>
          <w:szCs w:val="32"/>
          <w:shd w:val="clear" w:color="auto" w:fill="FFFFFF"/>
        </w:rPr>
        <w:t>财政局未委托第三方对我单位开展绩效评价。</w:t>
      </w:r>
    </w:p>
    <w:p>
      <w:pPr>
        <w:pStyle w:val="6"/>
        <w:shd w:val="clear" w:color="auto" w:fill="FFFFFF"/>
        <w:rPr>
          <w:rStyle w:val="10"/>
          <w:rFonts w:hint="default" w:ascii="方正仿宋_GBK" w:hAnsi="方正仿宋_GBK" w:eastAsia="方正仿宋_GBK" w:cs="方正仿宋_GBK"/>
          <w:color w:val="auto"/>
          <w:sz w:val="32"/>
          <w:szCs w:val="32"/>
          <w:shd w:val="clear" w:color="auto" w:fill="FFFFFF"/>
        </w:rPr>
      </w:pPr>
      <w:bookmarkStart w:id="0" w:name="_GoBack"/>
      <w:bookmarkEnd w:id="0"/>
      <w:r>
        <w:rPr>
          <w:rStyle w:val="10"/>
          <w:rFonts w:ascii="方正仿宋_GBK" w:hAnsi="方正仿宋_GBK" w:eastAsia="方正仿宋_GBK" w:cs="方正仿宋_GBK"/>
          <w:color w:val="auto"/>
          <w:sz w:val="32"/>
          <w:szCs w:val="32"/>
          <w:shd w:val="clear" w:color="auto" w:fill="FFFFFF"/>
        </w:rPr>
        <w:t xml:space="preserve">  </w:t>
      </w:r>
      <w:r>
        <w:rPr>
          <w:rStyle w:val="10"/>
          <w:rFonts w:ascii="黑体" w:hAnsi="黑体" w:eastAsia="黑体" w:cs="黑体"/>
          <w:color w:val="auto"/>
          <w:sz w:val="32"/>
          <w:szCs w:val="32"/>
          <w:shd w:val="clear" w:color="auto" w:fill="FFFFFF"/>
        </w:rPr>
        <w:t>六、专业名词解释</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b/>
          <w:bCs/>
          <w:color w:val="auto"/>
          <w:sz w:val="32"/>
          <w:szCs w:val="32"/>
          <w:shd w:val="clear" w:color="auto" w:fill="FFFFFF"/>
        </w:rPr>
        <w:t> </w:t>
      </w:r>
      <w:r>
        <w:rPr>
          <w:rFonts w:ascii="楷体" w:hAnsi="楷体" w:eastAsia="楷体" w:cs="楷体"/>
          <w:b/>
          <w:bCs/>
          <w:color w:val="auto"/>
          <w:sz w:val="32"/>
          <w:szCs w:val="32"/>
          <w:shd w:val="clear" w:color="auto" w:fill="FFFFFF"/>
        </w:rPr>
        <w:t>（一）财政拨款收入：</w:t>
      </w:r>
      <w:r>
        <w:rPr>
          <w:rFonts w:ascii="方正仿宋_GBK" w:hAnsi="方正仿宋_GBK" w:eastAsia="方正仿宋_GBK" w:cs="方正仿宋_GBK"/>
          <w:color w:val="auto"/>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（二）事业收入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（三）经营收入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（四）其他收入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（五）使用非财政拨款结余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（六）年初结转和结余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（七）结余分配</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（八）年末结转和结余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（九）基本支出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（十）项目支出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（十一）经营支出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（十二）“三公”经费</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（十三）机关运行经费</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（十四）工资福利支出（支出经济分类科目类级）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（十五）商品和服务支出（支出经济分类科目类级）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 （十六）对个人和家庭的补助（支出经济分类科目类级）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反映用于对个人和家庭的补助支出。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（十七）其他资本性支出（支出经济分类科目类级）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 xml:space="preserve">  </w:t>
      </w:r>
      <w:r>
        <w:rPr>
          <w:rStyle w:val="10"/>
          <w:rFonts w:ascii="黑体" w:hAnsi="黑体" w:eastAsia="黑体" w:cs="黑体"/>
          <w:color w:val="auto"/>
          <w:sz w:val="32"/>
          <w:szCs w:val="32"/>
          <w:shd w:val="clear" w:color="auto" w:fill="FFFFFF"/>
        </w:rPr>
        <w:t>七、决算公开联系方式及信息反馈渠道</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color w:val="auto"/>
          <w:sz w:val="32"/>
          <w:szCs w:val="32"/>
          <w:shd w:val="clear" w:color="auto" w:fill="FFFFFF"/>
        </w:rPr>
        <w:t>本单位决算公开信息反馈和联系方式：023-</w:t>
      </w:r>
      <w:r>
        <w:rPr>
          <w:rFonts w:hint="eastAsia" w:ascii="方正仿宋_GBK" w:hAnsi="方正仿宋_GBK" w:eastAsia="方正仿宋_GBK" w:cs="方正仿宋_GBK"/>
          <w:color w:val="auto"/>
          <w:sz w:val="32"/>
          <w:szCs w:val="32"/>
          <w:shd w:val="clear" w:color="auto" w:fill="FFFFFF"/>
          <w:lang w:val="en-US" w:eastAsia="zh-CN"/>
        </w:rPr>
        <w:t>43406001</w:t>
      </w:r>
    </w:p>
    <w:p>
      <w:pPr>
        <w:pStyle w:val="11"/>
        <w:autoSpaceDE w:val="0"/>
        <w:ind w:firstLine="0" w:firstLineChars="0"/>
        <w:rPr>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重庆市大足区回龙镇劳动就业和社会保障服务所</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71.11</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63.92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3.62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3.57</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71.11</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71.11</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71.11</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71.11</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重庆市大足区回龙镇劳动就业和社会保障服务所</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71.11</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71.11</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63.92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63.92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人力资源和社会保障管理事务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51.68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51.68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其他人力资源和社会保障管理事务支出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51.68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51.68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12.14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12.14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4.76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4.76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2.98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2.98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3.57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3.57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791"/>
        <w:gridCol w:w="3430"/>
        <w:gridCol w:w="1690"/>
        <w:gridCol w:w="1690"/>
        <w:gridCol w:w="1690"/>
        <w:gridCol w:w="1675"/>
        <w:gridCol w:w="1675"/>
        <w:gridCol w:w="1737"/>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重庆市大足区回龙镇劳动就业和社会保障服务所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71.11</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71.11</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63.92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63.92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人力资源和社会保障管理事务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51.68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51.68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其他人力资源和社会保障管理事务支出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51.68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51.68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12.14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12.14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4.76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4.76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2.98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2.98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3.57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3.57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重庆市大足区回龙镇劳动就业和社会保障服务所</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71.11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63.92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63.92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3.62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3.62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3.57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3.57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71.11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71.11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71.11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71.11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71.11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71.11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重庆市大足区回龙镇劳动就业和社会保障服务所</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71.11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71.11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63.92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63.92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人力资源和社会保障管理事务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51.68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51.68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其他人力资源和社会保障管理事务支出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51.68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51.68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12.14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12.14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4.76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4.76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2.38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2.38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5.00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5.00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3.62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3.62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3.62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3.62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2.98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2.98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0.64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0.64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3.57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3.57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3.57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3.57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3.57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3.57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重庆市大足区回龙镇劳动就业和社会保障服务所</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64.17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1.93</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3.12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30.79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4.76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2.98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3.57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0.64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5.00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0.03</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4.60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0.59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0.89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69.17</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1.93</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重庆市大足区回龙镇劳动就业和社会保障服务所</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重庆市大足区回龙镇劳动就业和社会保障服务所</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重庆市大足区回龙镇劳动就业和社会保障服务所</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0.03</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M4MmIyMDUzZWVjZTVjYjMzZDAxZmRhOTAxODZjODk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7A7AA4"/>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5FF15B4D"/>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5"/>
    <w:autoRedefine/>
    <w:qFormat/>
    <w:uiPriority w:val="0"/>
    <w:rPr>
      <w:sz w:val="18"/>
      <w:szCs w:val="18"/>
    </w:rPr>
  </w:style>
  <w:style w:type="paragraph" w:styleId="3">
    <w:name w:val="footer"/>
    <w:basedOn w:val="1"/>
    <w:autoRedefine/>
    <w:qFormat/>
    <w:uiPriority w:val="0"/>
    <w:pPr>
      <w:tabs>
        <w:tab w:val="center" w:pos="4153"/>
        <w:tab w:val="right" w:pos="8306"/>
      </w:tabs>
      <w:snapToGrid w:val="0"/>
    </w:pPr>
    <w:rPr>
      <w:sz w:val="18"/>
      <w:szCs w:val="18"/>
    </w:rPr>
  </w:style>
  <w:style w:type="paragraph" w:styleId="4">
    <w:name w:val="header"/>
    <w:basedOn w:val="1"/>
    <w:autoRedefine/>
    <w:qFormat/>
    <w:uiPriority w:val="0"/>
    <w:pPr>
      <w:tabs>
        <w:tab w:val="center" w:pos="4153"/>
        <w:tab w:val="right" w:pos="8306"/>
      </w:tabs>
      <w:snapToGrid w:val="0"/>
      <w:jc w:val="center"/>
    </w:pPr>
    <w:rPr>
      <w:sz w:val="18"/>
      <w:szCs w:val="18"/>
    </w:rPr>
  </w:style>
  <w:style w:type="paragraph" w:styleId="5">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autoRedefine/>
    <w:unhideWhenUsed/>
    <w:qFormat/>
    <w:uiPriority w:val="0"/>
    <w:pPr>
      <w:spacing w:before="100" w:beforeAutospacing="1" w:after="100" w:afterAutospacing="1"/>
    </w:p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autoRedefine/>
    <w:qFormat/>
    <w:uiPriority w:val="0"/>
    <w:rPr>
      <w:b/>
    </w:rPr>
  </w:style>
  <w:style w:type="paragraph" w:customStyle="1" w:styleId="11">
    <w:name w:val="列出段落1"/>
    <w:basedOn w:val="1"/>
    <w:autoRedefine/>
    <w:qFormat/>
    <w:uiPriority w:val="99"/>
    <w:pPr>
      <w:ind w:firstLine="420" w:firstLineChars="200"/>
    </w:pPr>
    <w:rPr>
      <w:rFonts w:hint="default"/>
    </w:rPr>
  </w:style>
  <w:style w:type="paragraph" w:customStyle="1" w:styleId="12">
    <w:name w:val="普通(网站) Char"/>
    <w:autoRedefine/>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autoRedefine/>
    <w:qFormat/>
    <w:uiPriority w:val="0"/>
    <w:rPr>
      <w:rFonts w:hint="default" w:ascii="Wingdings" w:hAnsi="Wingdings" w:cs="Wingdings"/>
      <w:b/>
      <w:bCs/>
    </w:rPr>
  </w:style>
  <w:style w:type="paragraph" w:customStyle="1" w:styleId="14">
    <w:name w:val="列出段落2"/>
    <w:autoRedefine/>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autoRedefine/>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0</TotalTime>
  <ScaleCrop>false</ScaleCrop>
  <LinksUpToDate>false</LinksUpToDate>
  <CharactersWithSpaces>26759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Administrator</cp:lastModifiedBy>
  <dcterms:modified xsi:type="dcterms:W3CDTF">2024-10-17T02:14:34Z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BB46EABDBB2749749395447164B066B3_12</vt:lpwstr>
  </property>
</Properties>
</file>