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ascii="方正小标宋_GBK" w:hAnsi="方正小标宋_GBK" w:eastAsia="方正小标宋_GBK" w:cs="方正小标宋_GBK"/>
          <w:sz w:val="36"/>
          <w:szCs w:val="36"/>
        </w:rPr>
      </w:pPr>
      <w:r>
        <w:rPr>
          <w:rFonts w:ascii="方正小标宋_GBK" w:hAnsi="方正小标宋_GBK" w:eastAsia="方正小标宋_GBK" w:cs="方正小标宋_GBK"/>
          <w:sz w:val="36"/>
          <w:szCs w:val="36"/>
        </w:rPr>
        <w:t>重庆市大足区回龙镇综合行政执法大队</w:t>
      </w:r>
    </w:p>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（1）具体承担本级人民政府的综合行政执法工作，集中行使依法授权或委托的农林水利、规划建设、生态环境保护、卫生健康、文化旅游、民政管理、交通、消防等领域的行政执法权。</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（2）承担本级人民政府经法律法规授权或依法受委托其他行业领域的安全生产监管执法工作。</w:t>
      </w:r>
    </w:p>
    <w:p>
      <w:pPr>
        <w:pStyle w:val="6"/>
        <w:shd w:val="clear" w:color="auto" w:fill="FFFFFF"/>
        <w:ind w:firstLine="420"/>
        <w:rPr>
          <w:rFonts w:hint="default" w:ascii="楷体" w:hAnsi="楷体" w:eastAsia="楷体" w:cs="楷体"/>
          <w:color w:val="auto"/>
          <w:sz w:val="32"/>
          <w:szCs w:val="32"/>
        </w:rPr>
      </w:pPr>
      <w:r>
        <w:rPr>
          <w:rFonts w:hint="eastAsia" w:ascii="方正仿宋_GBK" w:hAnsi="方正仿宋_GBK" w:eastAsia="方正仿宋_GBK" w:cs="方正仿宋_GBK"/>
          <w:color w:val="auto"/>
          <w:sz w:val="32"/>
          <w:szCs w:val="32"/>
          <w:shd w:val="clear" w:color="auto" w:fill="FFFFFF"/>
        </w:rPr>
        <w:t>（3）负责完成与城市管理、规划和自然资源管理、市场监督管理等区级部门直接管理领域联合执法相关工作任务。</w:t>
      </w:r>
      <w:r>
        <w:rPr>
          <w:rStyle w:val="10"/>
          <w:rFonts w:ascii="楷体" w:hAnsi="楷体" w:eastAsia="楷体" w:cs="楷体"/>
          <w:color w:val="auto"/>
          <w:sz w:val="32"/>
          <w:szCs w:val="32"/>
          <w:shd w:val="clear" w:color="auto" w:fill="FFFFFF"/>
        </w:rPr>
        <w:t>（二）机构设置</w:t>
      </w:r>
    </w:p>
    <w:p>
      <w:pPr>
        <w:pStyle w:val="6"/>
        <w:shd w:val="clear" w:color="auto" w:fill="FFFFFF"/>
        <w:ind w:firstLine="640" w:firstLineChars="20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重庆市大足区回龙镇综合行政执法支队隶属于重庆市大足区回龙镇人民政府，公益一类事业单位。</w:t>
      </w:r>
    </w:p>
    <w:p>
      <w:pPr>
        <w:pStyle w:val="6"/>
        <w:shd w:val="clear" w:color="auto" w:fill="FFFFFF"/>
        <w:rPr>
          <w:rFonts w:hint="default" w:ascii="方正仿宋_GBK" w:hAnsi="方正仿宋_GBK" w:eastAsia="方正仿宋_GBK" w:cs="方正仿宋_GBK"/>
          <w:color w:val="auto"/>
          <w:sz w:val="32"/>
          <w:szCs w:val="32"/>
        </w:rPr>
      </w:pPr>
      <w:r>
        <w:rPr>
          <w:rStyle w:val="10"/>
          <w:rFonts w:ascii="黑体" w:hAnsi="黑体" w:eastAsia="黑体" w:cs="黑体"/>
          <w:color w:val="auto"/>
          <w:sz w:val="32"/>
          <w:szCs w:val="32"/>
          <w:shd w:val="clear" w:color="auto" w:fill="FFFFFF"/>
        </w:rPr>
        <w:t>二、单位决算情况说明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2023年度收入总计89.22万元，支出总计</w:t>
      </w:r>
      <w:r>
        <w:rPr>
          <w:rFonts w:ascii="方正仿宋_GBK" w:hAnsi="方正仿宋_GBK" w:eastAsia="方正仿宋_GBK" w:cs="方正仿宋_GBK"/>
          <w:color w:val="auto"/>
          <w:sz w:val="32"/>
          <w:szCs w:val="32"/>
        </w:rPr>
        <w:t>89.22</w:t>
      </w:r>
      <w:r>
        <w:rPr>
          <w:rFonts w:ascii="方正仿宋_GBK" w:hAnsi="方正仿宋_GBK" w:eastAsia="方正仿宋_GBK" w:cs="方正仿宋_GBK"/>
          <w:color w:val="auto"/>
          <w:sz w:val="32"/>
          <w:szCs w:val="32"/>
          <w:shd w:val="clear" w:color="auto" w:fill="FFFFFF"/>
        </w:rPr>
        <w:t>万元。收支较上年决算数增加89.22万元，增长100.00%，主要原因是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2023年度收入合计89.22万元，较上年决算数增加89.22万元，增长100.00%，主要原因是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89.22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万元，占0.00%；其他收入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万元，占0.00%。此外，使用非财政拨款结余和专用结余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89.22</w:t>
      </w:r>
      <w:r>
        <w:rPr>
          <w:rFonts w:ascii="方正仿宋_GBK" w:hAnsi="方正仿宋_GBK" w:eastAsia="方正仿宋_GBK" w:cs="方正仿宋_GBK"/>
          <w:color w:val="auto"/>
          <w:sz w:val="32"/>
          <w:szCs w:val="32"/>
          <w:shd w:val="clear" w:color="auto" w:fill="FFFFFF"/>
        </w:rPr>
        <w:t>万元，较上年决算数增加89.22万元，增长100.00%，主要原因是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89.22</w:t>
      </w:r>
      <w:r>
        <w:rPr>
          <w:rFonts w:ascii="方正仿宋_GBK" w:hAnsi="方正仿宋_GBK" w:eastAsia="方正仿宋_GBK" w:cs="方正仿宋_GBK"/>
          <w:color w:val="auto"/>
          <w:sz w:val="32"/>
          <w:szCs w:val="32"/>
          <w:shd w:val="clear" w:color="auto" w:fill="FFFFFF"/>
        </w:rPr>
        <w:t>万元，占100.00%；项目支出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万元，占0.00%。此外，结余分配</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2023年度财政拨款收、支总计89.22万元。与2022年相比，财政拨款收、支总计各增加89.22万元，增长100.00%。主要原因是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89.22</w:t>
      </w:r>
      <w:r>
        <w:rPr>
          <w:rFonts w:ascii="方正仿宋_GBK" w:hAnsi="方正仿宋_GBK" w:eastAsia="方正仿宋_GBK" w:cs="方正仿宋_GBK"/>
          <w:color w:val="auto"/>
          <w:sz w:val="32"/>
          <w:szCs w:val="32"/>
          <w:shd w:val="clear" w:color="auto" w:fill="FFFFFF"/>
        </w:rPr>
        <w:t>万元，较上年决算数增加89.22万元，增长100.00%。主要原因</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。较年初预算数减少4.99万元，下降5.30%。主要原因是</w:t>
      </w:r>
      <w:r>
        <w:rPr>
          <w:rFonts w:hint="eastAsia" w:ascii="方正仿宋_GBK" w:hAnsi="方正仿宋_GBK" w:eastAsia="方正仿宋_GBK" w:cs="方正仿宋_GBK"/>
          <w:color w:val="auto"/>
          <w:sz w:val="32"/>
          <w:szCs w:val="32"/>
          <w:shd w:val="clear" w:color="auto" w:fill="FFFFFF"/>
          <w:lang w:eastAsia="zh-CN"/>
        </w:rPr>
        <w:t>人员调动</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89.22</w:t>
      </w:r>
      <w:r>
        <w:rPr>
          <w:rFonts w:ascii="方正仿宋_GBK" w:hAnsi="方正仿宋_GBK" w:eastAsia="方正仿宋_GBK" w:cs="方正仿宋_GBK"/>
          <w:color w:val="auto"/>
          <w:sz w:val="32"/>
          <w:szCs w:val="32"/>
          <w:shd w:val="clear" w:color="auto" w:fill="FFFFFF"/>
        </w:rPr>
        <w:t>万元，较上年决算数增加89.22万元，增长100.00%。主要原因是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。较年初预算数减少4.99万元，下降5.30%。主要原因是</w:t>
      </w:r>
      <w:r>
        <w:rPr>
          <w:rFonts w:hint="eastAsia" w:ascii="方正仿宋_GBK" w:hAnsi="方正仿宋_GBK" w:eastAsia="方正仿宋_GBK" w:cs="方正仿宋_GBK"/>
          <w:color w:val="auto"/>
          <w:sz w:val="32"/>
          <w:szCs w:val="32"/>
          <w:shd w:val="clear" w:color="auto" w:fill="FFFFFF"/>
          <w:lang w:eastAsia="zh-CN"/>
        </w:rPr>
        <w:t>人员调动</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highlight w:val="cyan"/>
          <w:shd w:val="clear" w:color="auto" w:fill="FFFFFF"/>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（1）一般公共服务支出</w:t>
      </w:r>
      <w:r>
        <w:rPr>
          <w:rFonts w:ascii="方正仿宋_GBK" w:hAnsi="方正仿宋_GBK" w:eastAsia="方正仿宋_GBK" w:cs="方正仿宋_GBK"/>
          <w:color w:val="auto"/>
          <w:sz w:val="32"/>
          <w:szCs w:val="32"/>
        </w:rPr>
        <w:t>69.73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78.16</w:t>
      </w:r>
      <w:r>
        <w:rPr>
          <w:rFonts w:ascii="方正仿宋_GBK" w:hAnsi="方正仿宋_GBK" w:eastAsia="方正仿宋_GBK" w:cs="方正仿宋_GBK"/>
          <w:color w:val="auto"/>
          <w:sz w:val="32"/>
          <w:szCs w:val="32"/>
          <w:shd w:val="clear" w:color="auto" w:fill="FFFFFF"/>
        </w:rPr>
        <w:t>%，较年初预算数减少4.99万元，下降6.68%，主要原因是</w:t>
      </w:r>
      <w:r>
        <w:rPr>
          <w:rFonts w:hint="eastAsia" w:ascii="方正仿宋_GBK" w:hAnsi="方正仿宋_GBK" w:eastAsia="方正仿宋_GBK" w:cs="方正仿宋_GBK"/>
          <w:color w:val="auto"/>
          <w:sz w:val="32"/>
          <w:szCs w:val="32"/>
          <w:shd w:val="clear" w:color="auto" w:fill="FFFFFF"/>
          <w:lang w:eastAsia="zh-CN"/>
        </w:rPr>
        <w:t>人员调动</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）社会保障与就业支出</w:t>
      </w:r>
      <w:r>
        <w:rPr>
          <w:rFonts w:ascii="方正仿宋_GBK" w:hAnsi="方正仿宋_GBK" w:eastAsia="方正仿宋_GBK" w:cs="方正仿宋_GBK"/>
          <w:color w:val="auto"/>
          <w:sz w:val="32"/>
          <w:szCs w:val="32"/>
        </w:rPr>
        <w:t>9.73</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10.90</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社会</w:t>
      </w:r>
      <w:r>
        <w:rPr>
          <w:rFonts w:hint="eastAsia" w:ascii="方正仿宋_GBK" w:hAnsi="方正仿宋_GBK" w:eastAsia="方正仿宋_GBK" w:cs="方正仿宋_GBK"/>
          <w:color w:val="auto"/>
          <w:sz w:val="32"/>
          <w:szCs w:val="32"/>
          <w:shd w:val="clear" w:color="auto" w:fill="FFFFFF"/>
        </w:rPr>
        <w:t>保险缴费。</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4.96</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5.56</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严格按照人员数量及工资标准预算支出人员医疗保险缴费。</w:t>
      </w:r>
    </w:p>
    <w:p>
      <w:pPr>
        <w:ind w:firstLine="640" w:firstLineChars="200"/>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住房保障支出4.80</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5.38</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住房公积金</w:t>
      </w:r>
      <w:r>
        <w:rPr>
          <w:rFonts w:hint="eastAsia" w:ascii="方正仿宋_GBK" w:hAnsi="方正仿宋_GBK" w:eastAsia="方正仿宋_GBK" w:cs="方正仿宋_GBK"/>
          <w:color w:val="auto"/>
          <w:sz w:val="32"/>
          <w:szCs w:val="32"/>
          <w:shd w:val="clear" w:color="auto" w:fill="FFFFFF"/>
        </w:rPr>
        <w:t>缴费。</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89.22</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86.62</w:t>
      </w:r>
      <w:r>
        <w:rPr>
          <w:rFonts w:ascii="方正仿宋_GBK" w:hAnsi="方正仿宋_GBK" w:eastAsia="方正仿宋_GBK" w:cs="方正仿宋_GBK"/>
          <w:color w:val="auto"/>
          <w:sz w:val="32"/>
          <w:szCs w:val="32"/>
          <w:shd w:val="clear" w:color="auto" w:fill="FFFFFF"/>
        </w:rPr>
        <w:t>万元，较上年决算数增加86.62万元，增长100.00%，主要原因是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hAnsi="方正仿宋_GBK" w:eastAsia="方正仿宋_GBK" w:cs="方正仿宋_GBK"/>
          <w:color w:val="auto"/>
          <w:sz w:val="32"/>
          <w:szCs w:val="32"/>
          <w:shd w:val="clear" w:color="auto" w:fill="FFFFFF"/>
        </w:rPr>
        <w:t>基本工资、津贴补贴、绩效工资、社会保障缴费、住房公积金。</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2.60</w:t>
      </w:r>
      <w:r>
        <w:rPr>
          <w:rFonts w:ascii="方正仿宋_GBK" w:hAnsi="方正仿宋_GBK" w:eastAsia="方正仿宋_GBK" w:cs="方正仿宋_GBK"/>
          <w:color w:val="auto"/>
          <w:sz w:val="32"/>
          <w:szCs w:val="32"/>
          <w:shd w:val="clear" w:color="auto" w:fill="FFFFFF"/>
        </w:rPr>
        <w:t>万元，较上年决算数增加2.60万元，增长100.00%，主要原因是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hAnsi="方正仿宋_GBK" w:eastAsia="方正仿宋_GBK" w:cs="方正仿宋_GBK"/>
          <w:color w:val="auto"/>
          <w:sz w:val="32"/>
          <w:szCs w:val="32"/>
          <w:shd w:val="clear" w:color="auto" w:fill="FFFFFF"/>
        </w:rPr>
        <w:t>工会经费、培训费。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auto"/>
        </w:rPr>
      </w:pPr>
      <w:r>
        <w:rPr>
          <w:rStyle w:val="10"/>
          <w:rFonts w:ascii="方正仿宋_GBK" w:hAnsi="方正仿宋_GBK" w:eastAsia="方正仿宋_GBK" w:cs="方正仿宋_GBK"/>
          <w:sz w:val="32"/>
          <w:szCs w:val="32"/>
          <w:shd w:val="clear" w:color="auto" w:fill="auto"/>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auto"/>
        </w:rPr>
      </w:pPr>
      <w:r>
        <w:rPr>
          <w:rStyle w:val="10"/>
          <w:rFonts w:ascii="方正仿宋_GBK" w:hAnsi="方正仿宋_GBK" w:eastAsia="方正仿宋_GBK" w:cs="方正仿宋_GBK"/>
          <w:sz w:val="32"/>
          <w:szCs w:val="32"/>
          <w:shd w:val="clear" w:color="auto" w:fill="auto"/>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万元，较年初预算数无增减</w:t>
      </w:r>
      <w:r>
        <w:rPr>
          <w:rFonts w:ascii="方正仿宋_GBK" w:hAnsi="方正仿宋_GBK" w:eastAsia="方正仿宋_GBK" w:cs="方正仿宋_GBK"/>
          <w:color w:val="auto"/>
          <w:sz w:val="32"/>
          <w:szCs w:val="32"/>
          <w:shd w:val="clear" w:color="auto" w:fill="FFFFFF"/>
        </w:rPr>
        <w:t>，主要原因是</w:t>
      </w:r>
      <w:r>
        <w:rPr>
          <w:rFonts w:hint="eastAsia" w:ascii="方正仿宋_GBK" w:hAnsi="方正仿宋_GBK" w:eastAsia="方正仿宋_GBK" w:cs="方正仿宋_GBK"/>
          <w:color w:val="auto"/>
          <w:sz w:val="32"/>
          <w:szCs w:val="32"/>
          <w:shd w:val="clear" w:color="auto" w:fill="FFFFFF"/>
        </w:rPr>
        <w:t>本单位与行政单位合署办公，年初编制预算时统一将办公经费编制在行政单位账套下，因此未有单独体现。</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pStyle w:val="11"/>
        <w:autoSpaceDE w:val="0"/>
        <w:ind w:firstLine="643"/>
        <w:rPr>
          <w:rFonts w:ascii="楷体" w:hAnsi="楷体" w:eastAsia="楷体" w:cs="楷体"/>
          <w:b/>
          <w:bCs/>
          <w:sz w:val="32"/>
          <w:szCs w:val="32"/>
          <w:shd w:val="clear" w:color="auto" w:fill="FFFFFF"/>
        </w:rPr>
      </w:pPr>
      <w:r>
        <w:rPr>
          <w:rFonts w:hint="eastAsia" w:ascii="方正仿宋_GBK" w:hAnsi="方正仿宋_GBK" w:eastAsia="方正仿宋_GBK" w:cs="方正仿宋_GBK"/>
          <w:sz w:val="32"/>
          <w:szCs w:val="32"/>
          <w:shd w:val="clear" w:color="auto" w:fill="FFFFFF"/>
        </w:rPr>
        <w:t>本单位与行政单位合署办公，年初编制预算及使用时统一将因公出国（境）费用、公务车购置费、公务车运行维护费、公务接待费编制在行政单位账套下，因此未有单独体现。</w:t>
      </w: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万元，较上年决算数无增减。本年度培训费支出</w:t>
      </w:r>
      <w:r>
        <w:rPr>
          <w:rFonts w:ascii="方正仿宋_GBK" w:hAnsi="方正仿宋_GBK" w:eastAsia="方正仿宋_GBK" w:cs="方正仿宋_GBK"/>
          <w:sz w:val="32"/>
          <w:szCs w:val="32"/>
        </w:rPr>
        <w:t>0.54</w:t>
      </w:r>
      <w:r>
        <w:rPr>
          <w:rFonts w:ascii="方正仿宋_GBK" w:hAnsi="方正仿宋_GBK" w:eastAsia="方正仿宋_GBK" w:cs="方正仿宋_GBK"/>
          <w:sz w:val="32"/>
          <w:szCs w:val="32"/>
          <w:shd w:val="clear" w:color="auto" w:fill="FFFFFF"/>
        </w:rPr>
        <w:t>万元，较上年决算数增加0.54万元，增长100.00%，主要原因</w:t>
      </w:r>
      <w:r>
        <w:rPr>
          <w:rFonts w:hint="eastAsia" w:ascii="方正仿宋_GBK" w:hAnsi="方正仿宋_GBK" w:eastAsia="方正仿宋_GBK" w:cs="方正仿宋_GBK"/>
          <w:sz w:val="32"/>
          <w:szCs w:val="32"/>
          <w:shd w:val="clear" w:color="auto" w:fill="FFFFFF"/>
        </w:rPr>
        <w:t>是2022年是行政和7个下属事业单位汇总编报，2023年为各单位单独填报。</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11"/>
        <w:autoSpaceDE w:val="0"/>
        <w:ind w:firstLine="643"/>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按照部门决算列报口径，我单位不在机关运行经费统计范围之内。</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（四）政府采购支出情况说明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 2023年度我单位未发生政府采购事项，无相关经费支出。</w:t>
      </w:r>
    </w:p>
    <w:p>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（一）单位自评情况</w:t>
      </w:r>
    </w:p>
    <w:p>
      <w:pPr>
        <w:pStyle w:val="12"/>
        <w:autoSpaceDE w:val="0"/>
        <w:spacing w:before="0" w:beforeAutospacing="0" w:line="600" w:lineRule="exact"/>
        <w:rPr>
          <w:rFonts w:hint="eastAsia" w:ascii="方正仿宋_GBK" w:hAnsi="方正仿宋_GBK" w:eastAsia="方正仿宋_GBK" w:cs="方正仿宋_GBK"/>
          <w:color w:val="auto"/>
          <w:sz w:val="32"/>
          <w:szCs w:val="32"/>
          <w:highlight w:val="yellow"/>
          <w:shd w:val="clear" w:color="auto" w:fill="FFFFFF"/>
          <w:lang w:eastAsia="zh-CN"/>
        </w:rPr>
      </w:pPr>
      <w:r>
        <w:rPr>
          <w:rFonts w:hint="eastAsia" w:ascii="方正仿宋_GBK" w:hAnsi="方正仿宋_GBK" w:eastAsia="方正仿宋_GBK" w:cs="方正仿宋_GBK"/>
          <w:color w:val="auto"/>
          <w:sz w:val="32"/>
          <w:szCs w:val="32"/>
          <w:shd w:val="clear" w:color="auto" w:fill="FFFFFF"/>
        </w:rPr>
        <w:t>我单位</w:t>
      </w:r>
      <w:r>
        <w:rPr>
          <w:rFonts w:hint="eastAsia" w:ascii="方正仿宋_GBK" w:hAnsi="方正仿宋_GBK" w:eastAsia="方正仿宋_GBK" w:cs="方正仿宋_GBK"/>
          <w:color w:val="auto"/>
          <w:sz w:val="32"/>
          <w:szCs w:val="32"/>
          <w:shd w:val="clear" w:color="auto" w:fill="FFFFFF"/>
          <w:lang w:eastAsia="zh-CN"/>
        </w:rPr>
        <w:t>未无项目支出，故无单位自评。</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（二）单位绩效评价情况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我单位未组织开展绩效评价。</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（三）财政绩效评价情况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区</w:t>
      </w:r>
      <w:r>
        <w:rPr>
          <w:rFonts w:hint="eastAsia" w:ascii="方正仿宋_GBK" w:hAnsi="方正仿宋_GBK" w:eastAsia="方正仿宋_GBK" w:cs="方正仿宋_GBK"/>
          <w:color w:val="auto"/>
          <w:sz w:val="32"/>
          <w:szCs w:val="32"/>
          <w:shd w:val="clear" w:color="auto" w:fill="FFFFFF"/>
        </w:rPr>
        <w:t>财政局未委托第三方对我单位开展绩效评价。</w:t>
      </w:r>
    </w:p>
    <w:p>
      <w:pPr>
        <w:pStyle w:val="6"/>
        <w:shd w:val="clear" w:color="auto" w:fill="FFFFFF"/>
        <w:rPr>
          <w:rStyle w:val="10"/>
          <w:rFonts w:hint="default" w:ascii="方正仿宋_GBK" w:hAnsi="方正仿宋_GBK" w:eastAsia="方正仿宋_GBK" w:cs="方正仿宋_GBK"/>
          <w:sz w:val="32"/>
          <w:szCs w:val="32"/>
          <w:shd w:val="clear" w:color="auto" w:fill="FFFFFF"/>
        </w:rPr>
      </w:pPr>
      <w:bookmarkStart w:id="0" w:name="_GoBack"/>
      <w:bookmarkEnd w:id="0"/>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w:t>
      </w:r>
      <w:r>
        <w:rPr>
          <w:rFonts w:ascii="方正仿宋_GBK" w:hAnsi="方正仿宋_GBK" w:eastAsia="方正仿宋_GBK" w:cs="方正仿宋_GBK"/>
          <w:color w:val="auto"/>
          <w:sz w:val="32"/>
          <w:szCs w:val="32"/>
          <w:shd w:val="clear" w:color="auto" w:fill="FFFFFF"/>
        </w:rPr>
        <w:t>方式：023-</w:t>
      </w:r>
      <w:r>
        <w:rPr>
          <w:rFonts w:hint="eastAsia" w:ascii="方正仿宋_GBK" w:hAnsi="方正仿宋_GBK" w:eastAsia="方正仿宋_GBK" w:cs="方正仿宋_GBK"/>
          <w:color w:val="auto"/>
          <w:sz w:val="32"/>
          <w:szCs w:val="32"/>
          <w:shd w:val="clear" w:color="auto" w:fill="FFFFFF"/>
          <w:lang w:val="en-US" w:eastAsia="zh-CN"/>
        </w:rPr>
        <w:t>43406001</w:t>
      </w:r>
    </w:p>
    <w:p>
      <w:pPr>
        <w:pStyle w:val="11"/>
        <w:autoSpaceDE w:val="0"/>
        <w:ind w:firstLine="0" w:firstLineChars="0"/>
        <w:rPr>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重庆市大足区回龙镇综合行政执法大队</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89.22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69.73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9.73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4.96</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4.80</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89.22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89.22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89.22</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89.22</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重庆市大足区回龙镇综合行政执法大队</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89.22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89.22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政府办公厅（室）及相关机构事务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2010350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69.73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69.73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9.73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6.40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0.96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0.96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4.80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4.80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重庆市大足区回龙镇综合行政执法大队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89.22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89.22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政府办公厅（室）及相关机构事务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69.73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2010350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69.73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69.73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9.73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9.73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9.61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6.40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4.00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0.96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0.96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4.80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4.80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4.80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重庆市大足区回龙镇综合行政执法大队</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89.22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69.73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69.73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9.73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9.73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4.80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4.80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89.22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89.22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89.22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89.22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89.22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89.22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重庆市大足区回龙镇综合行政执法大队</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89.22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89.22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69.73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69.73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20103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政府办公厅（室）及相关机构事务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69.73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69.73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2010350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69.73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69.73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9.73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9.73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9.61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9.61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6.40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6.40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3.20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3.20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4.96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4.96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4.96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4.96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4.00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4.00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0.96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0.96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4.80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4.80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4.80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4.80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4.80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4.80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重庆市大足区回龙镇综合行政执法大队</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86.62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20.89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41.74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6.40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3.20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4.00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4.80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0.96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0.80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1.20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86.62</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2.60</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重庆市大足区回龙镇综合行政执法大队</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重庆市大足区回龙镇综合行政执法大队</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重庆市大足区回龙镇综合行政执法大队</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0.54</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M4MmIyMDUzZWVjZTVjYjMzZDAxZmRhOTAxODZjODk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641A6F"/>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1634C2"/>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5"/>
    <w:autoRedefine/>
    <w:qFormat/>
    <w:uiPriority w:val="0"/>
    <w:rPr>
      <w:sz w:val="18"/>
      <w:szCs w:val="18"/>
    </w:rPr>
  </w:style>
  <w:style w:type="paragraph" w:styleId="3">
    <w:name w:val="footer"/>
    <w:basedOn w:val="1"/>
    <w:autoRedefine/>
    <w:qFormat/>
    <w:uiPriority w:val="0"/>
    <w:pPr>
      <w:tabs>
        <w:tab w:val="center" w:pos="4153"/>
        <w:tab w:val="right" w:pos="8306"/>
      </w:tabs>
      <w:snapToGrid w:val="0"/>
    </w:pPr>
    <w:rPr>
      <w:sz w:val="18"/>
      <w:szCs w:val="18"/>
    </w:rPr>
  </w:style>
  <w:style w:type="paragraph" w:styleId="4">
    <w:name w:val="header"/>
    <w:basedOn w:val="1"/>
    <w:autoRedefine/>
    <w:qFormat/>
    <w:uiPriority w:val="0"/>
    <w:pP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autoRedefine/>
    <w:unhideWhenUsed/>
    <w:qFormat/>
    <w:uiPriority w:val="0"/>
    <w:pPr>
      <w:spacing w:before="100" w:beforeAutospacing="1" w:after="100" w:afterAutospacing="1"/>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autoRedefine/>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autoRedefine/>
    <w:qFormat/>
    <w:uiPriority w:val="0"/>
    <w:rPr>
      <w:rFonts w:hint="default" w:ascii="Wingdings" w:hAnsi="Wingdings" w:cs="Wingdings"/>
      <w:b/>
      <w:bCs/>
    </w:rPr>
  </w:style>
  <w:style w:type="paragraph" w:customStyle="1" w:styleId="14">
    <w:name w:val="列出段落2"/>
    <w:autoRedefine/>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autoRedefine/>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2024-10-17T02:14:49Z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