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ind w:left="0" w:right="75"/>
        <w:jc w:val="center"/>
        <w:rPr>
          <w:sz w:val="30"/>
          <w:szCs w:val="30"/>
        </w:rPr>
      </w:pPr>
      <w:r>
        <w:rPr>
          <w:rStyle w:val="5"/>
          <w:sz w:val="30"/>
          <w:szCs w:val="30"/>
          <w:shd w:val="clear" w:fill="FFFFFF"/>
        </w:rPr>
        <w:t>重庆市大足区海棠新城招商服务中心</w:t>
      </w:r>
    </w:p>
    <w:p>
      <w:pPr>
        <w:pStyle w:val="3"/>
        <w:keepNext w:val="0"/>
        <w:keepLines w:val="0"/>
        <w:widowControl/>
        <w:suppressLineNumbers w:val="0"/>
        <w:ind w:left="0" w:right="75"/>
        <w:jc w:val="center"/>
        <w:rPr>
          <w:sz w:val="30"/>
          <w:szCs w:val="30"/>
        </w:rPr>
      </w:pPr>
      <w:r>
        <w:rPr>
          <w:rStyle w:val="5"/>
          <w:sz w:val="30"/>
          <w:szCs w:val="30"/>
          <w:shd w:val="clear" w:fill="FFFFFF"/>
        </w:rPr>
        <w:t>2022年度部门决算情况说明</w:t>
      </w:r>
    </w:p>
    <w:p>
      <w:pPr>
        <w:pStyle w:val="3"/>
        <w:keepNext w:val="0"/>
        <w:keepLines w:val="0"/>
        <w:widowControl/>
        <w:suppressLineNumbers w:val="0"/>
        <w:ind w:left="0" w:right="75"/>
        <w:rPr>
          <w:sz w:val="30"/>
          <w:szCs w:val="30"/>
        </w:rPr>
      </w:pPr>
      <w:r>
        <w:rPr>
          <w:rStyle w:val="5"/>
          <w:sz w:val="30"/>
          <w:szCs w:val="30"/>
          <w:shd w:val="clear" w:fill="FFFFFF"/>
        </w:rPr>
        <w:t>一、部门基本情况</w:t>
      </w:r>
    </w:p>
    <w:p>
      <w:pPr>
        <w:pStyle w:val="3"/>
        <w:keepNext w:val="0"/>
        <w:keepLines w:val="0"/>
        <w:widowControl/>
        <w:suppressLineNumbers w:val="0"/>
        <w:ind w:left="0" w:right="75"/>
        <w:jc w:val="left"/>
        <w:rPr>
          <w:rFonts w:hint="eastAsia"/>
          <w:sz w:val="24"/>
          <w:szCs w:val="24"/>
          <w:lang w:eastAsia="zh-CN"/>
        </w:rPr>
      </w:pPr>
      <w:r>
        <w:rPr>
          <w:rStyle w:val="5"/>
          <w:sz w:val="30"/>
          <w:szCs w:val="30"/>
          <w:shd w:val="clear" w:fill="FFFFFF"/>
        </w:rPr>
        <w:t>（一）职能职责</w:t>
      </w:r>
      <w:r>
        <w:br w:type="textWrapping"/>
      </w:r>
      <w:r>
        <w:rPr>
          <w:rFonts w:hint="eastAsia"/>
          <w:sz w:val="24"/>
          <w:szCs w:val="24"/>
          <w:lang w:val="en-US" w:eastAsia="zh-CN"/>
        </w:rPr>
        <w:t>1、</w:t>
      </w:r>
      <w:r>
        <w:rPr>
          <w:rFonts w:hint="eastAsia"/>
          <w:sz w:val="24"/>
          <w:szCs w:val="24"/>
          <w:lang w:eastAsia="zh-CN"/>
        </w:rPr>
        <w:t>负责</w:t>
      </w:r>
      <w:r>
        <w:rPr>
          <w:sz w:val="24"/>
          <w:szCs w:val="24"/>
        </w:rPr>
        <w:t>海棠新城开发区的招商引资工作和</w:t>
      </w:r>
      <w:r>
        <w:rPr>
          <w:rFonts w:hint="eastAsia"/>
          <w:sz w:val="24"/>
          <w:szCs w:val="24"/>
          <w:lang w:eastAsia="zh-CN"/>
        </w:rPr>
        <w:t>为入驻企业提供服务。</w:t>
      </w:r>
      <w:r>
        <w:rPr>
          <w:sz w:val="24"/>
          <w:szCs w:val="24"/>
        </w:rPr>
        <w:br w:type="textWrapping"/>
      </w:r>
      <w:r>
        <w:rPr>
          <w:sz w:val="24"/>
          <w:szCs w:val="24"/>
        </w:rPr>
        <w:t>具体职责任务</w:t>
      </w:r>
      <w:r>
        <w:rPr>
          <w:sz w:val="24"/>
          <w:szCs w:val="24"/>
        </w:rPr>
        <w:br w:type="textWrapping"/>
      </w:r>
      <w:r>
        <w:rPr>
          <w:rFonts w:hint="eastAsia"/>
          <w:sz w:val="24"/>
          <w:szCs w:val="24"/>
          <w:lang w:val="en-US" w:eastAsia="zh-CN"/>
        </w:rPr>
        <w:t>2、</w:t>
      </w:r>
      <w:r>
        <w:rPr>
          <w:sz w:val="24"/>
          <w:szCs w:val="24"/>
        </w:rPr>
        <w:t>负责为海棠新城开发区内企业办理工</w:t>
      </w:r>
      <w:r>
        <w:rPr>
          <w:rFonts w:hint="eastAsia"/>
          <w:sz w:val="24"/>
          <w:szCs w:val="24"/>
          <w:lang w:eastAsia="zh-CN"/>
        </w:rPr>
        <w:t>项目入驻相关手续。</w:t>
      </w:r>
    </w:p>
    <w:p>
      <w:pPr>
        <w:pStyle w:val="30"/>
        <w:spacing w:before="0" w:beforeAutospacing="0"/>
        <w:rPr>
          <w:rFonts w:hint="eastAsia" w:eastAsia="宋体" w:cs="宋体"/>
          <w:sz w:val="24"/>
          <w:szCs w:val="24"/>
          <w:lang w:eastAsia="zh-CN"/>
        </w:rPr>
      </w:pPr>
      <w:r>
        <w:rPr>
          <w:rFonts w:hint="eastAsia"/>
          <w:sz w:val="24"/>
          <w:szCs w:val="24"/>
          <w:lang w:val="en-US" w:eastAsia="zh-CN"/>
        </w:rPr>
        <w:t>3、</w:t>
      </w:r>
      <w:r>
        <w:rPr>
          <w:sz w:val="24"/>
          <w:szCs w:val="24"/>
        </w:rPr>
        <w:t>负责海堂新城开发区入驻项目的</w:t>
      </w:r>
      <w:r>
        <w:rPr>
          <w:rFonts w:hint="eastAsia"/>
          <w:sz w:val="24"/>
          <w:szCs w:val="24"/>
          <w:lang w:eastAsia="zh-CN"/>
        </w:rPr>
        <w:t>跟踪服务工作，协调入驻</w:t>
      </w:r>
      <w:r>
        <w:rPr>
          <w:sz w:val="24"/>
          <w:szCs w:val="24"/>
        </w:rPr>
        <w:br w:type="textWrapping"/>
      </w:r>
      <w:r>
        <w:rPr>
          <w:sz w:val="24"/>
          <w:szCs w:val="24"/>
        </w:rPr>
        <w:t>企业办理项目审批、注册、登记等相</w:t>
      </w:r>
      <w:r>
        <w:rPr>
          <w:rFonts w:hint="eastAsia"/>
          <w:sz w:val="24"/>
          <w:szCs w:val="24"/>
          <w:lang w:eastAsia="zh-CN"/>
        </w:rPr>
        <w:t>关手续，负责协调解决</w:t>
      </w:r>
      <w:r>
        <w:rPr>
          <w:sz w:val="24"/>
          <w:szCs w:val="24"/>
        </w:rPr>
        <w:t>项目实施过程中的具体问题。</w:t>
      </w:r>
      <w:r>
        <w:rPr>
          <w:sz w:val="24"/>
          <w:szCs w:val="24"/>
        </w:rPr>
        <w:br w:type="textWrapping"/>
      </w:r>
      <w:r>
        <w:rPr>
          <w:rFonts w:hint="eastAsia"/>
          <w:sz w:val="24"/>
          <w:szCs w:val="24"/>
          <w:lang w:val="en-US" w:eastAsia="zh-CN"/>
        </w:rPr>
        <w:t>4、</w:t>
      </w:r>
      <w:r>
        <w:rPr>
          <w:sz w:val="24"/>
          <w:szCs w:val="24"/>
        </w:rPr>
        <w:t>负责向投资商宣传推介海棠新城</w:t>
      </w:r>
      <w:r>
        <w:rPr>
          <w:rFonts w:hint="eastAsia"/>
          <w:sz w:val="24"/>
          <w:szCs w:val="24"/>
          <w:lang w:eastAsia="zh-CN"/>
        </w:rPr>
        <w:t>投资政策和投资环境，搭</w:t>
      </w:r>
      <w:r>
        <w:rPr>
          <w:sz w:val="24"/>
          <w:szCs w:val="24"/>
        </w:rPr>
        <w:t>建交流平台</w:t>
      </w:r>
      <w:r>
        <w:rPr>
          <w:rFonts w:hint="eastAsia"/>
          <w:sz w:val="24"/>
          <w:szCs w:val="24"/>
          <w:lang w:eastAsia="zh-CN"/>
        </w:rPr>
        <w:t>。</w:t>
      </w:r>
    </w:p>
    <w:p>
      <w:pPr>
        <w:pStyle w:val="3"/>
        <w:keepNext w:val="0"/>
        <w:keepLines w:val="0"/>
        <w:widowControl/>
        <w:suppressLineNumbers w:val="0"/>
        <w:ind w:left="0" w:right="75"/>
        <w:jc w:val="left"/>
        <w:rPr>
          <w:sz w:val="30"/>
          <w:szCs w:val="30"/>
        </w:rPr>
      </w:pPr>
      <w:r>
        <w:rPr>
          <w:rStyle w:val="5"/>
          <w:sz w:val="30"/>
          <w:szCs w:val="30"/>
          <w:shd w:val="clear" w:fill="FFFFFF"/>
        </w:rPr>
        <w:t>（二）机构设置</w:t>
      </w:r>
    </w:p>
    <w:p>
      <w:pPr>
        <w:pStyle w:val="3"/>
        <w:keepNext w:val="0"/>
        <w:keepLines w:val="0"/>
        <w:widowControl/>
        <w:suppressLineNumbers w:val="0"/>
        <w:ind w:left="0" w:right="75"/>
        <w:jc w:val="left"/>
        <w:rPr>
          <w:rFonts w:hint="eastAsia" w:ascii="方正仿宋_GBK" w:hAnsi="微软雅黑" w:eastAsia="方正仿宋_GBK"/>
          <w:color w:val="333333"/>
          <w:sz w:val="27"/>
          <w:szCs w:val="27"/>
          <w:shd w:val="clear" w:color="auto" w:fill="FFFFFF"/>
          <w:lang w:eastAsia="zh-CN"/>
        </w:rPr>
      </w:pPr>
      <w:r>
        <w:rPr>
          <w:rFonts w:hint="eastAsia" w:ascii="方正仿宋_GBK" w:hAnsi="微软雅黑" w:eastAsia="方正仿宋_GBK"/>
          <w:color w:val="333333"/>
          <w:sz w:val="27"/>
          <w:szCs w:val="27"/>
          <w:shd w:val="clear" w:color="auto" w:fill="FFFFFF"/>
        </w:rPr>
        <w:t>重庆市大足区海棠新城开发区招商服务中心为事业单位，</w:t>
      </w:r>
      <w:r>
        <w:rPr>
          <w:rFonts w:hint="eastAsia" w:ascii="方正仿宋_GBK" w:hAnsi="微软雅黑" w:eastAsia="方正仿宋_GBK"/>
          <w:color w:val="333333"/>
          <w:sz w:val="27"/>
          <w:szCs w:val="27"/>
          <w:shd w:val="clear" w:color="auto" w:fill="FFFFFF"/>
          <w:lang w:eastAsia="zh-CN"/>
        </w:rPr>
        <w:t>是</w:t>
      </w:r>
      <w:r>
        <w:rPr>
          <w:rFonts w:hint="eastAsia" w:ascii="方正仿宋_GBK" w:hAnsi="微软雅黑" w:eastAsia="方正仿宋_GBK"/>
          <w:color w:val="333333"/>
          <w:sz w:val="27"/>
          <w:szCs w:val="27"/>
          <w:shd w:val="clear" w:color="auto" w:fill="FFFFFF"/>
        </w:rPr>
        <w:t>重庆市大足区海棠新城管理委员会</w:t>
      </w:r>
      <w:r>
        <w:rPr>
          <w:rFonts w:hint="eastAsia" w:ascii="方正仿宋_GBK" w:hAnsi="微软雅黑" w:eastAsia="方正仿宋_GBK"/>
          <w:color w:val="333333"/>
          <w:sz w:val="27"/>
          <w:szCs w:val="27"/>
          <w:shd w:val="clear" w:color="auto" w:fill="FFFFFF"/>
          <w:lang w:eastAsia="zh-CN"/>
        </w:rPr>
        <w:t>二</w:t>
      </w:r>
      <w:r>
        <w:rPr>
          <w:rFonts w:hint="eastAsia" w:ascii="方正仿宋_GBK" w:hAnsi="微软雅黑" w:eastAsia="方正仿宋_GBK"/>
          <w:color w:val="333333"/>
          <w:sz w:val="27"/>
          <w:szCs w:val="27"/>
          <w:shd w:val="clear" w:color="auto" w:fill="FFFFFF"/>
        </w:rPr>
        <w:t>级</w:t>
      </w:r>
      <w:r>
        <w:rPr>
          <w:rFonts w:hint="eastAsia" w:ascii="方正仿宋_GBK" w:hAnsi="微软雅黑" w:eastAsia="方正仿宋_GBK"/>
          <w:color w:val="333333"/>
          <w:sz w:val="27"/>
          <w:szCs w:val="27"/>
          <w:shd w:val="clear" w:color="auto" w:fill="FFFFFF"/>
          <w:lang w:eastAsia="zh-CN"/>
        </w:rPr>
        <w:t>核算单位。</w:t>
      </w:r>
    </w:p>
    <w:p>
      <w:pPr>
        <w:pStyle w:val="3"/>
        <w:keepNext w:val="0"/>
        <w:keepLines w:val="0"/>
        <w:widowControl/>
        <w:suppressLineNumbers w:val="0"/>
        <w:ind w:left="0" w:right="75"/>
        <w:jc w:val="left"/>
        <w:rPr>
          <w:sz w:val="30"/>
          <w:szCs w:val="30"/>
        </w:rPr>
      </w:pPr>
      <w:r>
        <w:rPr>
          <w:rStyle w:val="5"/>
          <w:sz w:val="30"/>
          <w:szCs w:val="30"/>
          <w:shd w:val="clear" w:fill="FFFFFF"/>
        </w:rPr>
        <w:t>（三）单位构成</w:t>
      </w:r>
    </w:p>
    <w:p>
      <w:pPr>
        <w:pStyle w:val="3"/>
        <w:keepNext w:val="0"/>
        <w:keepLines w:val="0"/>
        <w:widowControl/>
        <w:suppressLineNumbers w:val="0"/>
        <w:ind w:left="0" w:right="75"/>
        <w:jc w:val="left"/>
        <w:rPr>
          <w:sz w:val="30"/>
          <w:szCs w:val="30"/>
          <w:shd w:val="clear" w:fill="FFFFFF"/>
        </w:rPr>
      </w:pPr>
      <w:r>
        <w:rPr>
          <w:sz w:val="30"/>
          <w:szCs w:val="30"/>
          <w:shd w:val="clear" w:fill="FFFFFF"/>
        </w:rPr>
        <w:t>从预算单位构成看，本部门2022年度决算编制纳入二级预算单位</w:t>
      </w:r>
      <w:r>
        <w:rPr>
          <w:rFonts w:hint="eastAsia"/>
          <w:sz w:val="30"/>
          <w:szCs w:val="30"/>
          <w:shd w:val="clear" w:fill="FFFFFF"/>
          <w:lang w:eastAsia="zh-CN"/>
        </w:rPr>
        <w:t>。</w:t>
      </w:r>
    </w:p>
    <w:p>
      <w:pPr>
        <w:pStyle w:val="3"/>
        <w:keepNext w:val="0"/>
        <w:keepLines w:val="0"/>
        <w:widowControl/>
        <w:suppressLineNumbers w:val="0"/>
        <w:ind w:left="0" w:right="75"/>
        <w:jc w:val="left"/>
        <w:rPr>
          <w:sz w:val="30"/>
          <w:szCs w:val="30"/>
        </w:rPr>
      </w:pPr>
      <w:r>
        <w:rPr>
          <w:rStyle w:val="5"/>
          <w:sz w:val="30"/>
          <w:szCs w:val="30"/>
          <w:shd w:val="clear" w:fill="FFFFFF"/>
        </w:rPr>
        <w:t>二、部门决算情况说明</w:t>
      </w:r>
    </w:p>
    <w:p>
      <w:pPr>
        <w:pStyle w:val="3"/>
        <w:keepNext w:val="0"/>
        <w:keepLines w:val="0"/>
        <w:widowControl/>
        <w:suppressLineNumbers w:val="0"/>
        <w:ind w:left="0" w:right="75"/>
        <w:jc w:val="left"/>
        <w:rPr>
          <w:sz w:val="30"/>
          <w:szCs w:val="30"/>
        </w:rPr>
      </w:pPr>
      <w:r>
        <w:rPr>
          <w:rStyle w:val="5"/>
          <w:sz w:val="30"/>
          <w:szCs w:val="30"/>
          <w:shd w:val="clear" w:fill="FFFFFF"/>
        </w:rPr>
        <w:t>（一）收入支出决算总体情况说明</w:t>
      </w:r>
    </w:p>
    <w:p>
      <w:pPr>
        <w:pStyle w:val="3"/>
        <w:keepNext w:val="0"/>
        <w:keepLines w:val="0"/>
        <w:widowControl/>
        <w:suppressLineNumbers w:val="0"/>
        <w:ind w:left="0" w:right="75"/>
        <w:jc w:val="left"/>
        <w:rPr>
          <w:rFonts w:hint="eastAsia"/>
          <w:color w:val="FF0000"/>
          <w:sz w:val="30"/>
          <w:szCs w:val="30"/>
          <w:shd w:val="clear" w:fill="FFFFFF"/>
          <w:lang w:val="en-US" w:eastAsia="zh-CN"/>
        </w:rPr>
      </w:pPr>
      <w:r>
        <w:rPr>
          <w:rStyle w:val="5"/>
          <w:sz w:val="30"/>
          <w:szCs w:val="30"/>
          <w:shd w:val="clear" w:fill="FFFFFF"/>
        </w:rPr>
        <w:t>1.总体情况。</w:t>
      </w:r>
      <w:r>
        <w:rPr>
          <w:sz w:val="30"/>
          <w:szCs w:val="30"/>
          <w:shd w:val="clear" w:fill="FFFFFF"/>
        </w:rPr>
        <w:t>2022年度收入总计220.34万元，支出总计220.34万元。收支较上年决算数增加220.34万元,增长</w:t>
      </w:r>
      <w:r>
        <w:rPr>
          <w:rFonts w:hint="eastAsia"/>
          <w:sz w:val="30"/>
          <w:szCs w:val="30"/>
          <w:shd w:val="clear" w:fill="FFFFFF"/>
          <w:lang w:val="en-US" w:eastAsia="zh-CN"/>
        </w:rPr>
        <w:t>100</w:t>
      </w:r>
      <w:r>
        <w:rPr>
          <w:sz w:val="30"/>
          <w:szCs w:val="30"/>
          <w:shd w:val="clear" w:fill="FFFFFF"/>
        </w:rPr>
        <w:t>%，主要原因是</w:t>
      </w:r>
      <w:r>
        <w:rPr>
          <w:rFonts w:hint="eastAsia"/>
          <w:color w:val="auto"/>
          <w:sz w:val="30"/>
          <w:szCs w:val="30"/>
          <w:shd w:val="clear" w:fill="FFFFFF"/>
          <w:lang w:val="en-US" w:eastAsia="zh-CN"/>
        </w:rPr>
        <w:t>2022年新增决算单位。</w:t>
      </w:r>
    </w:p>
    <w:p>
      <w:pPr>
        <w:pStyle w:val="3"/>
        <w:keepNext w:val="0"/>
        <w:keepLines w:val="0"/>
        <w:widowControl/>
        <w:suppressLineNumbers w:val="0"/>
        <w:ind w:left="0" w:right="75"/>
        <w:jc w:val="left"/>
        <w:rPr>
          <w:sz w:val="30"/>
          <w:szCs w:val="30"/>
          <w:shd w:val="clear" w:fill="FFFFFF"/>
        </w:rPr>
      </w:pPr>
      <w:r>
        <w:rPr>
          <w:rStyle w:val="5"/>
          <w:sz w:val="30"/>
          <w:szCs w:val="30"/>
          <w:shd w:val="clear" w:fill="FFFFFF"/>
        </w:rPr>
        <w:t>2.收入情况。</w:t>
      </w:r>
      <w:r>
        <w:rPr>
          <w:sz w:val="30"/>
          <w:szCs w:val="30"/>
          <w:shd w:val="clear" w:fill="FFFFFF"/>
        </w:rPr>
        <w:t>2022年度收入合计220.34万元，较上年决算数增加220.34万元，增长</w:t>
      </w:r>
      <w:r>
        <w:rPr>
          <w:rFonts w:hint="eastAsia"/>
          <w:sz w:val="30"/>
          <w:szCs w:val="30"/>
          <w:shd w:val="clear" w:fill="FFFFFF"/>
          <w:lang w:val="en-US" w:eastAsia="zh-CN"/>
        </w:rPr>
        <w:t>100</w:t>
      </w:r>
      <w:r>
        <w:rPr>
          <w:sz w:val="30"/>
          <w:szCs w:val="30"/>
          <w:shd w:val="clear" w:fill="FFFFFF"/>
        </w:rPr>
        <w:t>%，主要原因是</w:t>
      </w:r>
      <w:r>
        <w:rPr>
          <w:rFonts w:hint="eastAsia"/>
          <w:color w:val="auto"/>
          <w:sz w:val="30"/>
          <w:szCs w:val="30"/>
          <w:shd w:val="clear" w:fill="FFFFFF"/>
          <w:lang w:val="en-US" w:eastAsia="zh-CN"/>
        </w:rPr>
        <w:t>2022年新增决算单位。</w:t>
      </w:r>
      <w:r>
        <w:rPr>
          <w:sz w:val="30"/>
          <w:szCs w:val="30"/>
          <w:shd w:val="clear" w:fill="FFFFFF"/>
        </w:rPr>
        <w:t>其中：财政拨款收入220.34万元，占100%；</w:t>
      </w:r>
    </w:p>
    <w:p>
      <w:pPr>
        <w:pStyle w:val="3"/>
        <w:keepNext w:val="0"/>
        <w:keepLines w:val="0"/>
        <w:widowControl/>
        <w:suppressLineNumbers w:val="0"/>
        <w:ind w:left="0" w:right="75"/>
        <w:jc w:val="left"/>
        <w:rPr>
          <w:rFonts w:hint="eastAsia" w:eastAsiaTheme="minorEastAsia"/>
          <w:sz w:val="30"/>
          <w:szCs w:val="30"/>
          <w:shd w:val="clear" w:fill="FFFFFF"/>
          <w:lang w:eastAsia="zh-CN"/>
        </w:rPr>
      </w:pPr>
      <w:r>
        <w:rPr>
          <w:rStyle w:val="5"/>
          <w:sz w:val="30"/>
          <w:szCs w:val="30"/>
          <w:shd w:val="clear" w:fill="FFFFFF"/>
        </w:rPr>
        <w:t>3.支出情况。</w:t>
      </w:r>
      <w:r>
        <w:rPr>
          <w:sz w:val="30"/>
          <w:szCs w:val="30"/>
          <w:shd w:val="clear" w:fill="FFFFFF"/>
        </w:rPr>
        <w:t>2022年度支出合计220.34万元，较上年决算增加220.34万元，增长</w:t>
      </w:r>
      <w:r>
        <w:rPr>
          <w:rFonts w:hint="eastAsia"/>
          <w:sz w:val="30"/>
          <w:szCs w:val="30"/>
          <w:shd w:val="clear" w:fill="FFFFFF"/>
          <w:lang w:val="en-US" w:eastAsia="zh-CN"/>
        </w:rPr>
        <w:t>100</w:t>
      </w:r>
      <w:r>
        <w:rPr>
          <w:sz w:val="30"/>
          <w:szCs w:val="30"/>
          <w:shd w:val="clear" w:fill="FFFFFF"/>
        </w:rPr>
        <w:t>%，主要原因是</w:t>
      </w:r>
      <w:r>
        <w:rPr>
          <w:rFonts w:hint="eastAsia"/>
          <w:color w:val="auto"/>
          <w:sz w:val="30"/>
          <w:szCs w:val="30"/>
          <w:shd w:val="clear" w:fill="FFFFFF"/>
          <w:lang w:val="en-US" w:eastAsia="zh-CN"/>
        </w:rPr>
        <w:t>2022年新增决算单位。</w:t>
      </w:r>
      <w:r>
        <w:rPr>
          <w:sz w:val="30"/>
          <w:szCs w:val="30"/>
          <w:shd w:val="clear" w:fill="FFFFFF"/>
        </w:rPr>
        <w:t>其中：基本支出220.34万元，占100%</w:t>
      </w:r>
      <w:r>
        <w:rPr>
          <w:rFonts w:hint="eastAsia"/>
          <w:sz w:val="30"/>
          <w:szCs w:val="30"/>
          <w:shd w:val="clear" w:fill="FFFFFF"/>
          <w:lang w:eastAsia="zh-CN"/>
        </w:rPr>
        <w:t>。</w:t>
      </w:r>
    </w:p>
    <w:p>
      <w:pPr>
        <w:pStyle w:val="3"/>
        <w:keepNext w:val="0"/>
        <w:keepLines w:val="0"/>
        <w:widowControl/>
        <w:suppressLineNumbers w:val="0"/>
        <w:ind w:left="0" w:right="75"/>
        <w:jc w:val="left"/>
        <w:rPr>
          <w:rFonts w:hint="eastAsia" w:eastAsiaTheme="minorEastAsia"/>
          <w:sz w:val="30"/>
          <w:szCs w:val="30"/>
          <w:shd w:val="clear" w:fill="FFFFFF"/>
          <w:lang w:eastAsia="zh-CN"/>
        </w:rPr>
      </w:pPr>
      <w:r>
        <w:rPr>
          <w:rStyle w:val="5"/>
          <w:sz w:val="30"/>
          <w:szCs w:val="30"/>
          <w:shd w:val="clear" w:fill="FFFFFF"/>
        </w:rPr>
        <w:t>4.结转结余情况。</w:t>
      </w:r>
      <w:r>
        <w:rPr>
          <w:sz w:val="30"/>
          <w:szCs w:val="30"/>
          <w:shd w:val="clear" w:fill="FFFFFF"/>
        </w:rPr>
        <w:t>2022年度年末结转和结余0.00万元，较上年决算数增加0.00万元，增长%</w:t>
      </w:r>
      <w:r>
        <w:rPr>
          <w:rFonts w:hint="eastAsia"/>
          <w:sz w:val="30"/>
          <w:szCs w:val="30"/>
          <w:shd w:val="clear" w:fill="FFFFFF"/>
          <w:lang w:eastAsia="zh-CN"/>
        </w:rPr>
        <w:t>。</w:t>
      </w:r>
    </w:p>
    <w:p>
      <w:pPr>
        <w:pStyle w:val="3"/>
        <w:keepNext w:val="0"/>
        <w:keepLines w:val="0"/>
        <w:widowControl/>
        <w:suppressLineNumbers w:val="0"/>
        <w:ind w:left="0" w:right="75"/>
        <w:jc w:val="left"/>
        <w:rPr>
          <w:sz w:val="30"/>
          <w:szCs w:val="30"/>
        </w:rPr>
      </w:pPr>
      <w:r>
        <w:rPr>
          <w:rStyle w:val="5"/>
          <w:sz w:val="30"/>
          <w:szCs w:val="30"/>
          <w:shd w:val="clear" w:fill="FFFFFF"/>
        </w:rPr>
        <w:t>（二）财政拨款收入支出决算总体情况说明</w:t>
      </w:r>
    </w:p>
    <w:p>
      <w:pPr>
        <w:pStyle w:val="3"/>
        <w:keepNext w:val="0"/>
        <w:keepLines w:val="0"/>
        <w:widowControl/>
        <w:suppressLineNumbers w:val="0"/>
        <w:ind w:left="0" w:right="75"/>
        <w:jc w:val="left"/>
        <w:rPr>
          <w:sz w:val="30"/>
          <w:szCs w:val="30"/>
        </w:rPr>
      </w:pPr>
      <w:r>
        <w:rPr>
          <w:sz w:val="30"/>
          <w:szCs w:val="30"/>
          <w:shd w:val="clear" w:fill="FFFFFF"/>
        </w:rPr>
        <w:t>2022年度财政拨款收、支总计220.34万元。与2021年相比，财政拨款收、支总计各增加220.34万元，增长</w:t>
      </w:r>
      <w:r>
        <w:rPr>
          <w:rFonts w:hint="eastAsia"/>
          <w:sz w:val="30"/>
          <w:szCs w:val="30"/>
          <w:shd w:val="clear" w:fill="FFFFFF"/>
          <w:lang w:val="en-US" w:eastAsia="zh-CN"/>
        </w:rPr>
        <w:t>100</w:t>
      </w:r>
      <w:r>
        <w:rPr>
          <w:sz w:val="30"/>
          <w:szCs w:val="30"/>
          <w:shd w:val="clear" w:fill="FFFFFF"/>
        </w:rPr>
        <w:t>%。主要原因是</w:t>
      </w:r>
      <w:r>
        <w:rPr>
          <w:rFonts w:hint="eastAsia"/>
          <w:color w:val="auto"/>
          <w:sz w:val="30"/>
          <w:szCs w:val="30"/>
          <w:shd w:val="clear" w:fill="FFFFFF"/>
          <w:lang w:val="en-US" w:eastAsia="zh-CN"/>
        </w:rPr>
        <w:t>2022年新增决算单位。</w:t>
      </w:r>
    </w:p>
    <w:p>
      <w:pPr>
        <w:pStyle w:val="3"/>
        <w:keepNext w:val="0"/>
        <w:keepLines w:val="0"/>
        <w:widowControl/>
        <w:suppressLineNumbers w:val="0"/>
        <w:ind w:left="0" w:right="75"/>
        <w:jc w:val="left"/>
        <w:rPr>
          <w:sz w:val="30"/>
          <w:szCs w:val="30"/>
        </w:rPr>
      </w:pPr>
      <w:r>
        <w:rPr>
          <w:rStyle w:val="5"/>
          <w:sz w:val="30"/>
          <w:szCs w:val="30"/>
          <w:shd w:val="clear" w:fill="FFFFFF"/>
        </w:rPr>
        <w:t>（三）一般公共预算财政拨款收入支出决算情况说明</w:t>
      </w:r>
    </w:p>
    <w:p>
      <w:pPr>
        <w:pStyle w:val="3"/>
        <w:keepNext w:val="0"/>
        <w:keepLines w:val="0"/>
        <w:widowControl/>
        <w:suppressLineNumbers w:val="0"/>
        <w:ind w:left="0" w:right="75"/>
        <w:jc w:val="left"/>
        <w:rPr>
          <w:sz w:val="30"/>
          <w:szCs w:val="30"/>
        </w:rPr>
      </w:pPr>
      <w:r>
        <w:rPr>
          <w:rStyle w:val="5"/>
          <w:sz w:val="30"/>
          <w:szCs w:val="30"/>
          <w:shd w:val="clear" w:fill="FFFFFF"/>
        </w:rPr>
        <w:t>1.收入情况。</w:t>
      </w:r>
      <w:r>
        <w:rPr>
          <w:sz w:val="30"/>
          <w:szCs w:val="30"/>
          <w:shd w:val="clear" w:fill="FFFFFF"/>
        </w:rPr>
        <w:t>2022年度一般公共预算财政拨款收入220.34万元，较上年决算数增加220.34万元，增长</w:t>
      </w:r>
      <w:r>
        <w:rPr>
          <w:rFonts w:hint="eastAsia"/>
          <w:sz w:val="30"/>
          <w:szCs w:val="30"/>
          <w:shd w:val="clear" w:fill="FFFFFF"/>
          <w:lang w:val="en-US" w:eastAsia="zh-CN"/>
        </w:rPr>
        <w:t>100</w:t>
      </w:r>
      <w:r>
        <w:rPr>
          <w:sz w:val="30"/>
          <w:szCs w:val="30"/>
          <w:shd w:val="clear" w:fill="FFFFFF"/>
        </w:rPr>
        <w:t>%。主要原因是</w:t>
      </w:r>
      <w:r>
        <w:rPr>
          <w:rFonts w:hint="eastAsia"/>
          <w:color w:val="auto"/>
          <w:sz w:val="30"/>
          <w:szCs w:val="30"/>
          <w:shd w:val="clear" w:fill="FFFFFF"/>
          <w:lang w:val="en-US" w:eastAsia="zh-CN"/>
        </w:rPr>
        <w:t>2022年新增决算单位。</w:t>
      </w:r>
      <w:r>
        <w:rPr>
          <w:sz w:val="30"/>
          <w:szCs w:val="30"/>
          <w:shd w:val="clear" w:fill="FFFFFF"/>
        </w:rPr>
        <w:t>较年初预算数增加8.71万元，增长4.1%。主要原因</w:t>
      </w:r>
      <w:r>
        <w:rPr>
          <w:rFonts w:hint="eastAsia"/>
          <w:color w:val="auto"/>
          <w:sz w:val="30"/>
          <w:szCs w:val="30"/>
          <w:shd w:val="clear" w:fill="FFFFFF"/>
          <w:lang w:val="en-US" w:eastAsia="zh-CN"/>
        </w:rPr>
        <w:t>是人员增加。此外，年</w:t>
      </w:r>
      <w:r>
        <w:rPr>
          <w:sz w:val="30"/>
          <w:szCs w:val="30"/>
          <w:shd w:val="clear" w:fill="FFFFFF"/>
        </w:rPr>
        <w:t>初财政拨款结转和结余0.00万元。</w:t>
      </w:r>
    </w:p>
    <w:p>
      <w:pPr>
        <w:pStyle w:val="3"/>
        <w:keepNext w:val="0"/>
        <w:keepLines w:val="0"/>
        <w:widowControl/>
        <w:suppressLineNumbers w:val="0"/>
        <w:ind w:left="0" w:right="75"/>
        <w:jc w:val="left"/>
        <w:rPr>
          <w:rFonts w:hint="eastAsia" w:eastAsiaTheme="minorEastAsia"/>
          <w:sz w:val="30"/>
          <w:szCs w:val="30"/>
          <w:shd w:val="clear" w:fill="FFFFFF"/>
          <w:lang w:eastAsia="zh-CN"/>
        </w:rPr>
      </w:pPr>
      <w:r>
        <w:rPr>
          <w:rStyle w:val="5"/>
          <w:sz w:val="30"/>
          <w:szCs w:val="30"/>
          <w:shd w:val="clear" w:fill="FFFFFF"/>
        </w:rPr>
        <w:t>2.支出情况。</w:t>
      </w:r>
      <w:r>
        <w:rPr>
          <w:sz w:val="30"/>
          <w:szCs w:val="30"/>
          <w:shd w:val="clear" w:fill="FFFFFF"/>
        </w:rPr>
        <w:t>2022年度一般公共预算财政拨款支出220.34万元，较上年决算数增加220.34万元，增长</w:t>
      </w:r>
      <w:r>
        <w:rPr>
          <w:rFonts w:hint="eastAsia"/>
          <w:sz w:val="30"/>
          <w:szCs w:val="30"/>
          <w:shd w:val="clear" w:fill="FFFFFF"/>
          <w:lang w:val="en-US" w:eastAsia="zh-CN"/>
        </w:rPr>
        <w:t>100</w:t>
      </w:r>
      <w:r>
        <w:rPr>
          <w:sz w:val="30"/>
          <w:szCs w:val="30"/>
          <w:shd w:val="clear" w:fill="FFFFFF"/>
        </w:rPr>
        <w:t>%。主要原因是</w:t>
      </w:r>
      <w:r>
        <w:rPr>
          <w:rFonts w:hint="eastAsia"/>
          <w:color w:val="auto"/>
          <w:sz w:val="30"/>
          <w:szCs w:val="30"/>
          <w:shd w:val="clear" w:fill="FFFFFF"/>
          <w:lang w:val="en-US" w:eastAsia="zh-CN"/>
        </w:rPr>
        <w:t>2022年新增决算单位。</w:t>
      </w:r>
      <w:r>
        <w:rPr>
          <w:sz w:val="30"/>
          <w:szCs w:val="30"/>
          <w:shd w:val="clear" w:fill="FFFFFF"/>
        </w:rPr>
        <w:t>较年初预算数增加8.71万元，增长4.1%。主要原因是</w:t>
      </w:r>
      <w:r>
        <w:rPr>
          <w:rFonts w:hint="eastAsia"/>
          <w:sz w:val="30"/>
          <w:szCs w:val="30"/>
          <w:shd w:val="clear" w:fill="FFFFFF"/>
          <w:lang w:eastAsia="zh-CN"/>
        </w:rPr>
        <w:t>人员变动。</w:t>
      </w:r>
    </w:p>
    <w:p>
      <w:pPr>
        <w:pStyle w:val="3"/>
        <w:keepNext w:val="0"/>
        <w:keepLines w:val="0"/>
        <w:widowControl/>
        <w:suppressLineNumbers w:val="0"/>
        <w:ind w:left="0" w:right="75"/>
        <w:jc w:val="left"/>
        <w:rPr>
          <w:rFonts w:hint="eastAsia"/>
          <w:sz w:val="30"/>
          <w:szCs w:val="30"/>
          <w:shd w:val="clear" w:fill="FFFFFF"/>
          <w:lang w:eastAsia="zh-CN"/>
        </w:rPr>
      </w:pPr>
      <w:r>
        <w:rPr>
          <w:rStyle w:val="5"/>
          <w:sz w:val="30"/>
          <w:szCs w:val="30"/>
          <w:shd w:val="clear" w:fill="FFFFFF"/>
        </w:rPr>
        <w:t>3.结转结余情况。</w:t>
      </w:r>
      <w:r>
        <w:rPr>
          <w:sz w:val="30"/>
          <w:szCs w:val="30"/>
          <w:shd w:val="clear" w:fill="FFFFFF"/>
        </w:rPr>
        <w:t>2022年度年末一般公共预算财政拨款结转和结余0.00万元，较上年决算数增加0.00万元，增长%</w:t>
      </w:r>
      <w:r>
        <w:rPr>
          <w:rFonts w:hint="eastAsia"/>
          <w:sz w:val="30"/>
          <w:szCs w:val="30"/>
          <w:shd w:val="clear" w:fill="FFFFFF"/>
          <w:lang w:eastAsia="zh-CN"/>
        </w:rPr>
        <w:t>。</w:t>
      </w:r>
    </w:p>
    <w:p>
      <w:pPr>
        <w:pStyle w:val="3"/>
        <w:keepNext w:val="0"/>
        <w:keepLines w:val="0"/>
        <w:widowControl/>
        <w:suppressLineNumbers w:val="0"/>
        <w:ind w:left="0" w:right="75"/>
        <w:jc w:val="left"/>
        <w:rPr>
          <w:sz w:val="30"/>
          <w:szCs w:val="30"/>
          <w:shd w:val="clear" w:fill="FFFFFF"/>
        </w:rPr>
      </w:pPr>
      <w:r>
        <w:rPr>
          <w:rStyle w:val="5"/>
          <w:sz w:val="30"/>
          <w:szCs w:val="30"/>
          <w:shd w:val="clear" w:fill="FFFFFF"/>
        </w:rPr>
        <w:t>4.比较情况。</w:t>
      </w:r>
      <w:r>
        <w:rPr>
          <w:sz w:val="30"/>
          <w:szCs w:val="30"/>
          <w:shd w:val="clear" w:fill="FFFFFF"/>
        </w:rPr>
        <w:t>本部门2022年度一般公共预算财政拨款支出主要用于以下几个方面：</w:t>
      </w:r>
    </w:p>
    <w:p>
      <w:pPr>
        <w:pStyle w:val="3"/>
        <w:keepNext w:val="0"/>
        <w:keepLines w:val="0"/>
        <w:widowControl/>
        <w:suppressLineNumbers w:val="0"/>
        <w:ind w:left="0" w:right="75"/>
        <w:jc w:val="left"/>
        <w:rPr>
          <w:rFonts w:hint="eastAsia"/>
          <w:color w:val="auto"/>
          <w:sz w:val="30"/>
          <w:szCs w:val="30"/>
          <w:shd w:val="clear" w:fill="FFFFFF"/>
          <w:lang w:eastAsia="zh-CN"/>
        </w:rPr>
      </w:pPr>
      <w:r>
        <w:rPr>
          <w:sz w:val="30"/>
          <w:szCs w:val="30"/>
          <w:shd w:val="clear" w:fill="FFFFFF"/>
        </w:rPr>
        <w:t>（1）一般公共服务支出180.65万元，占82%，较年初预算数增加4.42万元，增长2.5%，主要原</w:t>
      </w:r>
      <w:r>
        <w:rPr>
          <w:color w:val="auto"/>
          <w:sz w:val="30"/>
          <w:szCs w:val="30"/>
          <w:shd w:val="clear" w:fill="FFFFFF"/>
        </w:rPr>
        <w:t>因是</w:t>
      </w:r>
      <w:r>
        <w:rPr>
          <w:rFonts w:hint="eastAsia"/>
          <w:color w:val="auto"/>
          <w:sz w:val="30"/>
          <w:szCs w:val="30"/>
          <w:shd w:val="clear" w:fill="FFFFFF"/>
          <w:lang w:eastAsia="zh-CN"/>
        </w:rPr>
        <w:t>人员变动</w:t>
      </w:r>
    </w:p>
    <w:p>
      <w:pPr>
        <w:pStyle w:val="3"/>
        <w:keepNext w:val="0"/>
        <w:keepLines w:val="0"/>
        <w:widowControl/>
        <w:suppressLineNumbers w:val="0"/>
        <w:ind w:left="0" w:right="75"/>
        <w:jc w:val="left"/>
        <w:rPr>
          <w:rFonts w:hint="eastAsia"/>
          <w:color w:val="auto"/>
          <w:sz w:val="30"/>
          <w:szCs w:val="30"/>
          <w:shd w:val="clear" w:fill="FFFFFF"/>
          <w:lang w:eastAsia="zh-CN"/>
        </w:rPr>
      </w:pPr>
      <w:r>
        <w:rPr>
          <w:color w:val="auto"/>
          <w:sz w:val="30"/>
          <w:szCs w:val="30"/>
          <w:shd w:val="clear" w:fill="FFFFFF"/>
        </w:rPr>
        <w:t>（</w:t>
      </w:r>
      <w:r>
        <w:rPr>
          <w:rFonts w:hint="eastAsia"/>
          <w:color w:val="auto"/>
          <w:sz w:val="30"/>
          <w:szCs w:val="30"/>
          <w:shd w:val="clear" w:fill="FFFFFF"/>
          <w:lang w:val="en-US" w:eastAsia="zh-CN"/>
        </w:rPr>
        <w:t>2</w:t>
      </w:r>
      <w:r>
        <w:rPr>
          <w:color w:val="auto"/>
          <w:sz w:val="30"/>
          <w:szCs w:val="30"/>
          <w:shd w:val="clear" w:fill="FFFFFF"/>
        </w:rPr>
        <w:t>）社会保障与就业支出21.87万元，占9.9%，较年初预算数增加4.22万元，增长23.9%，主要原因是</w:t>
      </w:r>
      <w:r>
        <w:rPr>
          <w:rFonts w:hint="eastAsia"/>
          <w:color w:val="auto"/>
          <w:sz w:val="30"/>
          <w:szCs w:val="30"/>
          <w:shd w:val="clear" w:fill="FFFFFF"/>
          <w:lang w:eastAsia="zh-CN"/>
        </w:rPr>
        <w:t>人员变动、社会保障和就业基数调整。</w:t>
      </w:r>
    </w:p>
    <w:p>
      <w:pPr>
        <w:pStyle w:val="3"/>
        <w:keepNext w:val="0"/>
        <w:keepLines w:val="0"/>
        <w:widowControl/>
        <w:suppressLineNumbers w:val="0"/>
        <w:ind w:left="0" w:right="75"/>
        <w:jc w:val="left"/>
        <w:rPr>
          <w:rFonts w:hint="eastAsia" w:eastAsiaTheme="minorEastAsia"/>
          <w:color w:val="auto"/>
          <w:sz w:val="30"/>
          <w:szCs w:val="30"/>
          <w:lang w:eastAsia="zh-CN"/>
        </w:rPr>
      </w:pPr>
      <w:r>
        <w:rPr>
          <w:color w:val="auto"/>
          <w:sz w:val="30"/>
          <w:szCs w:val="30"/>
          <w:shd w:val="clear" w:fill="FFFFFF"/>
        </w:rPr>
        <w:t>（</w:t>
      </w:r>
      <w:r>
        <w:rPr>
          <w:rFonts w:hint="eastAsia"/>
          <w:color w:val="auto"/>
          <w:sz w:val="30"/>
          <w:szCs w:val="30"/>
          <w:shd w:val="clear" w:fill="FFFFFF"/>
          <w:lang w:val="en-US" w:eastAsia="zh-CN"/>
        </w:rPr>
        <w:t>3</w:t>
      </w:r>
      <w:r>
        <w:rPr>
          <w:color w:val="auto"/>
          <w:sz w:val="30"/>
          <w:szCs w:val="30"/>
          <w:shd w:val="clear" w:fill="FFFFFF"/>
        </w:rPr>
        <w:t>）卫生健康支出9.10万元，占4.1%，较年初预算数增加0.07万元，增长0.8%，主要原因是</w:t>
      </w:r>
      <w:r>
        <w:rPr>
          <w:rFonts w:hint="eastAsia"/>
          <w:color w:val="auto"/>
          <w:sz w:val="30"/>
          <w:szCs w:val="30"/>
          <w:shd w:val="clear" w:fill="FFFFFF"/>
          <w:lang w:eastAsia="zh-CN"/>
        </w:rPr>
        <w:t>人员变动。</w:t>
      </w:r>
    </w:p>
    <w:p>
      <w:pPr>
        <w:pStyle w:val="3"/>
        <w:keepNext w:val="0"/>
        <w:keepLines w:val="0"/>
        <w:widowControl/>
        <w:suppressLineNumbers w:val="0"/>
        <w:ind w:left="0" w:right="75"/>
        <w:jc w:val="left"/>
        <w:rPr>
          <w:sz w:val="30"/>
          <w:szCs w:val="30"/>
        </w:rPr>
      </w:pPr>
      <w:r>
        <w:rPr>
          <w:sz w:val="30"/>
          <w:szCs w:val="30"/>
          <w:shd w:val="clear" w:fill="FFFFFF"/>
        </w:rPr>
        <w:t>（19）住房保障支出8.72万元，占4%，较年初预算数增加0.00万元，增长0%，</w:t>
      </w:r>
      <w:r>
        <w:rPr>
          <w:rFonts w:hint="eastAsia"/>
          <w:sz w:val="30"/>
          <w:szCs w:val="30"/>
          <w:shd w:val="clear" w:fill="FFFFFF"/>
          <w:lang w:eastAsia="zh-CN"/>
        </w:rPr>
        <w:t>和年初数持平。</w:t>
      </w:r>
    </w:p>
    <w:p>
      <w:pPr>
        <w:pStyle w:val="3"/>
        <w:keepNext w:val="0"/>
        <w:keepLines w:val="0"/>
        <w:widowControl/>
        <w:suppressLineNumbers w:val="0"/>
        <w:ind w:left="0" w:right="75"/>
        <w:jc w:val="left"/>
        <w:rPr>
          <w:sz w:val="30"/>
          <w:szCs w:val="30"/>
        </w:rPr>
      </w:pPr>
      <w:r>
        <w:rPr>
          <w:rStyle w:val="5"/>
          <w:sz w:val="30"/>
          <w:szCs w:val="30"/>
          <w:shd w:val="clear" w:fill="FFFFFF"/>
        </w:rPr>
        <w:t>（四）一般公共预算财政拨款基本支出决算情况说明</w:t>
      </w:r>
    </w:p>
    <w:p>
      <w:pPr>
        <w:pStyle w:val="3"/>
        <w:keepNext w:val="0"/>
        <w:keepLines w:val="0"/>
        <w:widowControl/>
        <w:suppressLineNumbers w:val="0"/>
        <w:ind w:left="0" w:right="75"/>
        <w:jc w:val="left"/>
        <w:rPr>
          <w:rFonts w:hint="eastAsia" w:ascii="宋体" w:hAnsi="宋体" w:eastAsia="宋体" w:cs="宋体"/>
          <w:kern w:val="0"/>
          <w:sz w:val="27"/>
          <w:szCs w:val="27"/>
          <w:shd w:val="clear" w:fill="FFFFFF"/>
        </w:rPr>
      </w:pPr>
      <w:r>
        <w:rPr>
          <w:sz w:val="30"/>
          <w:szCs w:val="30"/>
          <w:shd w:val="clear" w:fill="FFFFFF"/>
        </w:rPr>
        <w:t>2022年度一般公共预算财政拨款基本支出220.34万元。其中：人员经费174.15万元，较上年决算数增加174.15万元，增长</w:t>
      </w:r>
      <w:r>
        <w:rPr>
          <w:rFonts w:hint="eastAsia"/>
          <w:sz w:val="30"/>
          <w:szCs w:val="30"/>
          <w:shd w:val="clear" w:fill="FFFFFF"/>
          <w:lang w:val="en-US" w:eastAsia="zh-CN"/>
        </w:rPr>
        <w:t>100</w:t>
      </w:r>
      <w:r>
        <w:rPr>
          <w:sz w:val="30"/>
          <w:szCs w:val="30"/>
          <w:shd w:val="clear" w:fill="FFFFFF"/>
        </w:rPr>
        <w:t>%，主要原因是</w:t>
      </w:r>
      <w:r>
        <w:rPr>
          <w:rFonts w:hint="eastAsia"/>
          <w:sz w:val="30"/>
          <w:szCs w:val="30"/>
          <w:shd w:val="clear" w:fill="FFFFFF"/>
          <w:lang w:val="en-US" w:eastAsia="zh-CN"/>
        </w:rPr>
        <w:t>2022年</w:t>
      </w:r>
      <w:r>
        <w:rPr>
          <w:rFonts w:hint="eastAsia"/>
          <w:color w:val="auto"/>
          <w:sz w:val="30"/>
          <w:szCs w:val="30"/>
          <w:shd w:val="clear" w:fill="FFFFFF"/>
          <w:lang w:eastAsia="zh-CN"/>
        </w:rPr>
        <w:t>新增决算单位。</w:t>
      </w:r>
      <w:r>
        <w:rPr>
          <w:rFonts w:hint="eastAsia" w:ascii="宋体" w:hAnsi="宋体" w:eastAsia="宋体" w:cs="宋体"/>
          <w:color w:val="auto"/>
          <w:kern w:val="0"/>
          <w:sz w:val="27"/>
          <w:szCs w:val="27"/>
          <w:shd w:val="clear" w:fill="FFFFFF"/>
        </w:rPr>
        <w:t>人员经费用途主要包括基本工资、津贴补贴、奖金、社会保障缴费等</w:t>
      </w:r>
      <w:r>
        <w:rPr>
          <w:rFonts w:hint="eastAsia" w:ascii="宋体" w:hAnsi="宋体" w:eastAsia="宋体" w:cs="宋体"/>
          <w:color w:val="auto"/>
          <w:kern w:val="0"/>
          <w:sz w:val="27"/>
          <w:szCs w:val="27"/>
          <w:shd w:val="clear" w:fill="FFFFFF"/>
          <w:lang w:eastAsia="zh-CN"/>
        </w:rPr>
        <w:t>。</w:t>
      </w:r>
      <w:r>
        <w:rPr>
          <w:color w:val="auto"/>
          <w:sz w:val="30"/>
          <w:szCs w:val="30"/>
          <w:shd w:val="clear" w:fill="FFFFFF"/>
        </w:rPr>
        <w:t>公用经费46.19万元，较上年决算数增加46.19万元，增长</w:t>
      </w:r>
      <w:r>
        <w:rPr>
          <w:rFonts w:hint="eastAsia"/>
          <w:color w:val="auto"/>
          <w:sz w:val="30"/>
          <w:szCs w:val="30"/>
          <w:shd w:val="clear" w:fill="FFFFFF"/>
          <w:lang w:val="en-US" w:eastAsia="zh-CN"/>
        </w:rPr>
        <w:t>100</w:t>
      </w:r>
      <w:r>
        <w:rPr>
          <w:color w:val="auto"/>
          <w:sz w:val="30"/>
          <w:szCs w:val="30"/>
          <w:shd w:val="clear" w:fill="FFFFFF"/>
        </w:rPr>
        <w:t>%，主要原因是</w:t>
      </w:r>
      <w:r>
        <w:rPr>
          <w:rFonts w:hint="eastAsia"/>
          <w:color w:val="auto"/>
          <w:sz w:val="30"/>
          <w:szCs w:val="30"/>
          <w:shd w:val="clear" w:fill="FFFFFF"/>
          <w:lang w:val="en-US" w:eastAsia="zh-CN"/>
        </w:rPr>
        <w:t>2022年</w:t>
      </w:r>
      <w:r>
        <w:rPr>
          <w:rFonts w:hint="eastAsia"/>
          <w:color w:val="auto"/>
          <w:sz w:val="30"/>
          <w:szCs w:val="30"/>
          <w:shd w:val="clear" w:fill="FFFFFF"/>
          <w:lang w:eastAsia="zh-CN"/>
        </w:rPr>
        <w:t>新增决算单位。</w:t>
      </w:r>
      <w:r>
        <w:rPr>
          <w:rFonts w:hint="eastAsia" w:ascii="宋体" w:hAnsi="宋体" w:eastAsia="宋体" w:cs="宋体"/>
          <w:color w:val="auto"/>
          <w:kern w:val="0"/>
          <w:sz w:val="27"/>
          <w:szCs w:val="27"/>
          <w:shd w:val="clear" w:fill="FFFFFF"/>
        </w:rPr>
        <w:t>公用经费用途主要包括</w:t>
      </w:r>
      <w:r>
        <w:rPr>
          <w:rFonts w:hint="eastAsia" w:ascii="宋体" w:hAnsi="宋体" w:eastAsia="宋体" w:cs="宋体"/>
          <w:kern w:val="0"/>
          <w:sz w:val="27"/>
          <w:szCs w:val="27"/>
          <w:shd w:val="clear" w:fill="FFFFFF"/>
        </w:rPr>
        <w:t>办公费、邮电费、印刷费、差旅费、手续费、工会经费等</w:t>
      </w:r>
    </w:p>
    <w:p>
      <w:pPr>
        <w:pStyle w:val="3"/>
        <w:keepNext w:val="0"/>
        <w:keepLines w:val="0"/>
        <w:widowControl/>
        <w:suppressLineNumbers w:val="0"/>
        <w:ind w:left="0" w:right="75"/>
        <w:jc w:val="left"/>
        <w:rPr>
          <w:sz w:val="30"/>
          <w:szCs w:val="30"/>
        </w:rPr>
      </w:pPr>
      <w:r>
        <w:rPr>
          <w:rStyle w:val="5"/>
          <w:sz w:val="30"/>
          <w:szCs w:val="30"/>
          <w:shd w:val="clear" w:fill="FFFFFF"/>
        </w:rPr>
        <w:t>（五）政府性基金预算收支决算情况说明。</w:t>
      </w:r>
    </w:p>
    <w:p>
      <w:pPr>
        <w:pStyle w:val="3"/>
        <w:keepNext w:val="0"/>
        <w:keepLines w:val="0"/>
        <w:widowControl/>
        <w:suppressLineNumbers w:val="0"/>
        <w:ind w:left="0" w:right="75"/>
        <w:jc w:val="left"/>
        <w:rPr>
          <w:rFonts w:hint="eastAsia" w:ascii="宋体" w:hAnsi="宋体" w:eastAsia="宋体" w:cs="宋体"/>
          <w:kern w:val="0"/>
          <w:sz w:val="27"/>
          <w:szCs w:val="27"/>
          <w:shd w:val="clear" w:fill="FFFFFF"/>
          <w:lang w:val="en-US" w:eastAsia="zh-CN" w:bidi="ar"/>
        </w:rPr>
      </w:pPr>
      <w:r>
        <w:rPr>
          <w:rFonts w:hint="eastAsia" w:ascii="宋体" w:hAnsi="宋体" w:eastAsia="宋体" w:cs="宋体"/>
          <w:kern w:val="0"/>
          <w:sz w:val="27"/>
          <w:szCs w:val="27"/>
          <w:shd w:val="clear" w:fill="FFFFFF"/>
          <w:lang w:val="en-US" w:eastAsia="zh-CN" w:bidi="ar"/>
        </w:rPr>
        <w:t>本部门2022年度无政府性基金预算财政拨款收支。</w:t>
      </w:r>
    </w:p>
    <w:p>
      <w:pPr>
        <w:pStyle w:val="3"/>
        <w:keepNext w:val="0"/>
        <w:keepLines w:val="0"/>
        <w:widowControl/>
        <w:suppressLineNumbers w:val="0"/>
        <w:ind w:left="0" w:right="75"/>
        <w:jc w:val="left"/>
        <w:rPr>
          <w:sz w:val="30"/>
          <w:szCs w:val="30"/>
        </w:rPr>
      </w:pPr>
      <w:r>
        <w:rPr>
          <w:rStyle w:val="5"/>
          <w:sz w:val="30"/>
          <w:szCs w:val="30"/>
          <w:shd w:val="clear" w:fill="FFFFFF"/>
        </w:rPr>
        <w:t>（六）国有资本经营预算财政拨款支出决算情况说明。</w:t>
      </w:r>
    </w:p>
    <w:p>
      <w:pPr>
        <w:pStyle w:val="3"/>
        <w:keepNext w:val="0"/>
        <w:keepLines w:val="0"/>
        <w:widowControl/>
        <w:suppressLineNumbers w:val="0"/>
        <w:ind w:left="0" w:right="75"/>
        <w:jc w:val="left"/>
        <w:rPr>
          <w:rFonts w:hint="eastAsia" w:ascii="宋体" w:hAnsi="宋体" w:eastAsia="宋体" w:cs="宋体"/>
          <w:kern w:val="0"/>
          <w:sz w:val="27"/>
          <w:szCs w:val="27"/>
          <w:shd w:val="clear" w:fill="FFFFFF"/>
          <w:lang w:val="en-US" w:eastAsia="zh-CN" w:bidi="ar"/>
        </w:rPr>
      </w:pPr>
      <w:r>
        <w:rPr>
          <w:rFonts w:hint="eastAsia" w:ascii="宋体" w:hAnsi="宋体" w:eastAsia="宋体" w:cs="宋体"/>
          <w:kern w:val="0"/>
          <w:sz w:val="27"/>
          <w:szCs w:val="27"/>
          <w:shd w:val="clear" w:fill="FFFFFF"/>
          <w:lang w:val="en-US" w:eastAsia="zh-CN" w:bidi="ar"/>
        </w:rPr>
        <w:t>本部门2022年度无国有资本经营预算财政拨款支出。</w:t>
      </w:r>
    </w:p>
    <w:p>
      <w:pPr>
        <w:pStyle w:val="3"/>
        <w:keepNext w:val="0"/>
        <w:keepLines w:val="0"/>
        <w:widowControl/>
        <w:suppressLineNumbers w:val="0"/>
        <w:ind w:left="0" w:right="75"/>
        <w:jc w:val="left"/>
        <w:rPr>
          <w:sz w:val="30"/>
          <w:szCs w:val="30"/>
        </w:rPr>
      </w:pPr>
      <w:r>
        <w:rPr>
          <w:rStyle w:val="5"/>
          <w:sz w:val="30"/>
          <w:szCs w:val="30"/>
          <w:shd w:val="clear" w:fill="FFFFFF"/>
        </w:rPr>
        <w:t>三、“三公”经费情况说明</w:t>
      </w:r>
    </w:p>
    <w:p>
      <w:pPr>
        <w:pStyle w:val="3"/>
        <w:keepNext w:val="0"/>
        <w:keepLines w:val="0"/>
        <w:widowControl/>
        <w:suppressLineNumbers w:val="0"/>
        <w:ind w:left="0" w:right="75"/>
        <w:jc w:val="left"/>
        <w:rPr>
          <w:sz w:val="30"/>
          <w:szCs w:val="30"/>
        </w:rPr>
      </w:pPr>
      <w:r>
        <w:rPr>
          <w:rStyle w:val="5"/>
          <w:sz w:val="30"/>
          <w:szCs w:val="30"/>
          <w:shd w:val="clear" w:fill="FFFFFF"/>
        </w:rPr>
        <w:t>（一）“三公”经费支出总体情况说明</w:t>
      </w:r>
    </w:p>
    <w:p>
      <w:pPr>
        <w:pStyle w:val="3"/>
        <w:keepNext w:val="0"/>
        <w:keepLines w:val="0"/>
        <w:widowControl/>
        <w:suppressLineNumbers w:val="0"/>
        <w:ind w:left="0" w:right="75"/>
        <w:jc w:val="left"/>
        <w:rPr>
          <w:rFonts w:hint="eastAsia"/>
          <w:color w:val="auto"/>
          <w:sz w:val="30"/>
          <w:szCs w:val="30"/>
          <w:shd w:val="clear" w:fill="FFFFFF"/>
          <w:lang w:val="en-US" w:eastAsia="zh-CN"/>
        </w:rPr>
      </w:pPr>
      <w:r>
        <w:rPr>
          <w:sz w:val="30"/>
          <w:szCs w:val="30"/>
          <w:shd w:val="clear" w:fill="FFFFFF"/>
        </w:rPr>
        <w:t>2022年度“三公”经费支出共计7.11万元，较年初预算数减少1.65万元，下降18.8%，主要原因是</w:t>
      </w:r>
      <w:r>
        <w:rPr>
          <w:rFonts w:hint="eastAsia" w:ascii="方正仿宋_GBK" w:hAnsi="微软雅黑" w:eastAsia="方正仿宋_GBK"/>
          <w:color w:val="333333"/>
          <w:sz w:val="27"/>
          <w:szCs w:val="27"/>
          <w:shd w:val="clear" w:color="auto" w:fill="FFFFFF"/>
        </w:rPr>
        <w:t>主要原因是强化公务接待支出管理，严格遵守公务接待开支范围和开支标准，严格控制陪餐人数，对应由接待对象承担的费用一律由接待对象自行支付，严格控制公务接待费。</w:t>
      </w:r>
      <w:r>
        <w:rPr>
          <w:sz w:val="30"/>
          <w:szCs w:val="30"/>
          <w:shd w:val="clear" w:fill="FFFFFF"/>
        </w:rPr>
        <w:t>较上年支出数增加7.11万元，</w:t>
      </w:r>
      <w:r>
        <w:rPr>
          <w:color w:val="auto"/>
          <w:sz w:val="30"/>
          <w:szCs w:val="30"/>
          <w:shd w:val="clear" w:fill="FFFFFF"/>
        </w:rPr>
        <w:t>增长</w:t>
      </w:r>
      <w:r>
        <w:rPr>
          <w:rFonts w:hint="eastAsia"/>
          <w:color w:val="auto"/>
          <w:sz w:val="30"/>
          <w:szCs w:val="30"/>
          <w:shd w:val="clear" w:fill="FFFFFF"/>
          <w:lang w:val="en-US" w:eastAsia="zh-CN"/>
        </w:rPr>
        <w:t>100</w:t>
      </w:r>
      <w:r>
        <w:rPr>
          <w:color w:val="auto"/>
          <w:sz w:val="30"/>
          <w:szCs w:val="30"/>
          <w:shd w:val="clear" w:fill="FFFFFF"/>
        </w:rPr>
        <w:t>%，主要原因是</w:t>
      </w:r>
      <w:r>
        <w:rPr>
          <w:rFonts w:hint="eastAsia"/>
          <w:color w:val="auto"/>
          <w:sz w:val="30"/>
          <w:szCs w:val="30"/>
          <w:shd w:val="clear" w:fill="FFFFFF"/>
          <w:lang w:val="en-US" w:eastAsia="zh-CN"/>
        </w:rPr>
        <w:t>2022年新增决算单位。</w:t>
      </w:r>
    </w:p>
    <w:p>
      <w:pPr>
        <w:pStyle w:val="3"/>
        <w:keepNext w:val="0"/>
        <w:keepLines w:val="0"/>
        <w:widowControl/>
        <w:suppressLineNumbers w:val="0"/>
        <w:ind w:left="0" w:right="75"/>
        <w:jc w:val="left"/>
        <w:rPr>
          <w:sz w:val="30"/>
          <w:szCs w:val="30"/>
        </w:rPr>
      </w:pPr>
      <w:r>
        <w:rPr>
          <w:rStyle w:val="5"/>
          <w:sz w:val="30"/>
          <w:szCs w:val="30"/>
          <w:shd w:val="clear" w:fill="FFFFFF"/>
        </w:rPr>
        <w:t>（二）“三公”经费分项支出情况</w:t>
      </w:r>
    </w:p>
    <w:p>
      <w:pPr>
        <w:pStyle w:val="3"/>
        <w:keepNext w:val="0"/>
        <w:keepLines w:val="0"/>
        <w:widowControl/>
        <w:suppressLineNumbers w:val="0"/>
        <w:ind w:left="0" w:right="75"/>
        <w:jc w:val="left"/>
        <w:rPr>
          <w:rFonts w:hint="eastAsia" w:ascii="宋体" w:hAnsi="宋体" w:eastAsia="宋体" w:cs="宋体"/>
          <w:color w:val="auto"/>
          <w:kern w:val="0"/>
          <w:sz w:val="32"/>
          <w:szCs w:val="32"/>
          <w:shd w:val="clear" w:fill="FFFFFF"/>
          <w:lang w:val="en-US" w:eastAsia="zh-CN" w:bidi="ar"/>
        </w:rPr>
      </w:pPr>
      <w:r>
        <w:rPr>
          <w:sz w:val="30"/>
          <w:szCs w:val="30"/>
          <w:shd w:val="clear" w:fill="FFFFFF"/>
        </w:rPr>
        <w:t>2022年度本部门因公出国（境）费用0.00万元，</w:t>
      </w:r>
      <w:r>
        <w:rPr>
          <w:rFonts w:hint="eastAsia" w:ascii="宋体" w:hAnsi="宋体" w:eastAsia="宋体" w:cs="宋体"/>
          <w:color w:val="auto"/>
          <w:kern w:val="0"/>
          <w:sz w:val="32"/>
          <w:szCs w:val="32"/>
          <w:shd w:val="clear" w:fill="FFFFFF"/>
          <w:lang w:val="en-US" w:eastAsia="zh-CN" w:bidi="ar"/>
        </w:rPr>
        <w:t>本单位2022年度未发生因公出国（境）费用</w:t>
      </w:r>
      <w:r>
        <w:rPr>
          <w:color w:val="FF0000"/>
          <w:sz w:val="30"/>
          <w:szCs w:val="30"/>
          <w:shd w:val="clear" w:fill="FFFFFF"/>
        </w:rPr>
        <w:t>。</w:t>
      </w:r>
      <w:r>
        <w:rPr>
          <w:sz w:val="30"/>
          <w:szCs w:val="30"/>
          <w:shd w:val="clear" w:fill="FFFFFF"/>
        </w:rPr>
        <w:t>费用支出较年初预算数增加0.00万元，增长</w:t>
      </w:r>
      <w:r>
        <w:rPr>
          <w:rFonts w:hint="eastAsia"/>
          <w:sz w:val="30"/>
          <w:szCs w:val="30"/>
          <w:shd w:val="clear" w:fill="FFFFFF"/>
          <w:lang w:val="en-US" w:eastAsia="zh-CN"/>
        </w:rPr>
        <w:t>0</w:t>
      </w:r>
      <w:r>
        <w:rPr>
          <w:sz w:val="30"/>
          <w:szCs w:val="30"/>
          <w:shd w:val="clear" w:fill="FFFFFF"/>
        </w:rPr>
        <w:t>%，</w:t>
      </w:r>
      <w:bookmarkStart w:id="0" w:name="OLE_LINK1"/>
      <w:r>
        <w:rPr>
          <w:rFonts w:hint="eastAsia"/>
          <w:sz w:val="30"/>
          <w:szCs w:val="30"/>
          <w:shd w:val="clear" w:fill="FFFFFF"/>
          <w:lang w:val="en-US" w:eastAsia="zh-CN"/>
        </w:rPr>
        <w:t>与年初数持平，</w:t>
      </w:r>
      <w:bookmarkEnd w:id="0"/>
      <w:r>
        <w:rPr>
          <w:sz w:val="30"/>
          <w:szCs w:val="30"/>
          <w:shd w:val="clear" w:fill="FFFFFF"/>
        </w:rPr>
        <w:t>主要原因是</w:t>
      </w:r>
      <w:r>
        <w:rPr>
          <w:rFonts w:hint="eastAsia" w:ascii="宋体" w:hAnsi="宋体" w:eastAsia="宋体" w:cs="宋体"/>
          <w:color w:val="auto"/>
          <w:kern w:val="0"/>
          <w:sz w:val="32"/>
          <w:szCs w:val="32"/>
          <w:shd w:val="clear" w:fill="FFFFFF"/>
          <w:lang w:val="en-US" w:eastAsia="zh-CN" w:bidi="ar"/>
        </w:rPr>
        <w:t>本单位2022年度未发生因公出国（境）费用。</w:t>
      </w:r>
      <w:r>
        <w:rPr>
          <w:sz w:val="30"/>
          <w:szCs w:val="30"/>
          <w:shd w:val="clear" w:fill="FFFFFF"/>
        </w:rPr>
        <w:t>较上年支出数增加0.00万元，增长</w:t>
      </w:r>
      <w:r>
        <w:rPr>
          <w:rFonts w:hint="eastAsia"/>
          <w:sz w:val="30"/>
          <w:szCs w:val="30"/>
          <w:shd w:val="clear" w:fill="FFFFFF"/>
          <w:lang w:val="en-US" w:eastAsia="zh-CN"/>
        </w:rPr>
        <w:t>0</w:t>
      </w:r>
      <w:r>
        <w:rPr>
          <w:sz w:val="30"/>
          <w:szCs w:val="30"/>
          <w:shd w:val="clear" w:fill="FFFFFF"/>
        </w:rPr>
        <w:t>%，</w:t>
      </w:r>
      <w:r>
        <w:rPr>
          <w:rFonts w:hint="eastAsia"/>
          <w:sz w:val="30"/>
          <w:szCs w:val="30"/>
          <w:shd w:val="clear" w:fill="FFFFFF"/>
          <w:lang w:val="en-US" w:eastAsia="zh-CN"/>
        </w:rPr>
        <w:t>与上年数持平，</w:t>
      </w:r>
      <w:r>
        <w:rPr>
          <w:rFonts w:hint="eastAsia" w:ascii="宋体" w:hAnsi="宋体" w:eastAsia="宋体" w:cs="宋体"/>
          <w:color w:val="auto"/>
          <w:kern w:val="0"/>
          <w:sz w:val="32"/>
          <w:szCs w:val="32"/>
          <w:shd w:val="clear" w:fill="FFFFFF"/>
          <w:lang w:val="en-US" w:eastAsia="zh-CN" w:bidi="ar"/>
        </w:rPr>
        <w:t>本单位2022年度未发生因公出国（境）费用。</w:t>
      </w:r>
    </w:p>
    <w:p>
      <w:pPr>
        <w:pStyle w:val="3"/>
        <w:keepNext w:val="0"/>
        <w:keepLines w:val="0"/>
        <w:widowControl/>
        <w:suppressLineNumbers w:val="0"/>
        <w:ind w:left="0" w:right="75"/>
        <w:jc w:val="left"/>
        <w:rPr>
          <w:rFonts w:hint="eastAsia" w:ascii="宋体" w:hAnsi="宋体" w:eastAsia="宋体" w:cs="宋体"/>
          <w:color w:val="auto"/>
          <w:kern w:val="0"/>
          <w:sz w:val="32"/>
          <w:szCs w:val="32"/>
          <w:shd w:val="clear" w:fill="FFFFFF"/>
          <w:lang w:val="en-US" w:eastAsia="zh-CN" w:bidi="ar"/>
        </w:rPr>
      </w:pPr>
      <w:r>
        <w:rPr>
          <w:sz w:val="30"/>
          <w:szCs w:val="30"/>
          <w:shd w:val="clear" w:fill="FFFFFF"/>
        </w:rPr>
        <w:t>公务车购置费0.00万元，主要用于</w:t>
      </w:r>
      <w:r>
        <w:rPr>
          <w:color w:val="auto"/>
          <w:sz w:val="32"/>
          <w:szCs w:val="32"/>
          <w:shd w:val="clear" w:fill="FFFFFF"/>
        </w:rPr>
        <w:t>主要用于</w:t>
      </w:r>
      <w:r>
        <w:rPr>
          <w:rFonts w:hint="eastAsia" w:ascii="宋体" w:hAnsi="宋体" w:eastAsia="宋体" w:cs="宋体"/>
          <w:color w:val="auto"/>
          <w:kern w:val="0"/>
          <w:sz w:val="32"/>
          <w:szCs w:val="32"/>
          <w:shd w:val="clear" w:fill="FFFFFF"/>
        </w:rPr>
        <w:t>机要文件交换、市内因公出行、行政业务检查等工作所需车辆</w:t>
      </w:r>
      <w:r>
        <w:rPr>
          <w:rFonts w:hint="eastAsia" w:ascii="宋体" w:hAnsi="宋体" w:eastAsia="宋体" w:cs="宋体"/>
          <w:color w:val="auto"/>
          <w:kern w:val="0"/>
          <w:sz w:val="32"/>
          <w:szCs w:val="32"/>
          <w:shd w:val="clear" w:fill="FFFFFF"/>
          <w:lang w:eastAsia="zh-CN"/>
        </w:rPr>
        <w:t>。</w:t>
      </w:r>
      <w:r>
        <w:rPr>
          <w:sz w:val="30"/>
          <w:szCs w:val="30"/>
          <w:shd w:val="clear" w:fill="FFFFFF"/>
        </w:rPr>
        <w:t>费用支出较年初预算数增加0.00万元，增长</w:t>
      </w:r>
      <w:r>
        <w:rPr>
          <w:rFonts w:hint="eastAsia"/>
          <w:sz w:val="30"/>
          <w:szCs w:val="30"/>
          <w:shd w:val="clear" w:fill="FFFFFF"/>
          <w:lang w:val="en-US" w:eastAsia="zh-CN"/>
        </w:rPr>
        <w:t>0</w:t>
      </w:r>
      <w:r>
        <w:rPr>
          <w:sz w:val="30"/>
          <w:szCs w:val="30"/>
          <w:shd w:val="clear" w:fill="FFFFFF"/>
        </w:rPr>
        <w:t>%，</w:t>
      </w:r>
      <w:r>
        <w:rPr>
          <w:rFonts w:hint="eastAsia"/>
          <w:sz w:val="30"/>
          <w:szCs w:val="30"/>
          <w:shd w:val="clear" w:fill="FFFFFF"/>
          <w:lang w:val="en-US" w:eastAsia="zh-CN"/>
        </w:rPr>
        <w:t>与年初数持平，</w:t>
      </w:r>
      <w:r>
        <w:rPr>
          <w:sz w:val="30"/>
          <w:szCs w:val="30"/>
          <w:shd w:val="clear" w:fill="FFFFFF"/>
        </w:rPr>
        <w:t>主要原因是</w:t>
      </w:r>
      <w:r>
        <w:rPr>
          <w:rFonts w:hint="eastAsia"/>
          <w:sz w:val="30"/>
          <w:szCs w:val="30"/>
          <w:shd w:val="clear" w:fill="FFFFFF"/>
          <w:lang w:val="en-US" w:eastAsia="zh-CN"/>
        </w:rPr>
        <w:t>2</w:t>
      </w:r>
      <w:r>
        <w:rPr>
          <w:rFonts w:hint="eastAsia" w:ascii="宋体" w:hAnsi="宋体" w:eastAsia="宋体" w:cs="宋体"/>
          <w:color w:val="auto"/>
          <w:kern w:val="0"/>
          <w:sz w:val="32"/>
          <w:szCs w:val="32"/>
          <w:shd w:val="clear" w:fill="FFFFFF"/>
          <w:lang w:val="en-US" w:eastAsia="zh-CN" w:bidi="ar"/>
        </w:rPr>
        <w:t>022年度未购置公务用车。</w:t>
      </w:r>
      <w:r>
        <w:rPr>
          <w:sz w:val="30"/>
          <w:szCs w:val="30"/>
          <w:shd w:val="clear" w:fill="FFFFFF"/>
        </w:rPr>
        <w:t>较上年支出数增加0.00万元，增长</w:t>
      </w:r>
      <w:r>
        <w:rPr>
          <w:rFonts w:hint="eastAsia"/>
          <w:sz w:val="30"/>
          <w:szCs w:val="30"/>
          <w:shd w:val="clear" w:fill="FFFFFF"/>
          <w:lang w:val="en-US" w:eastAsia="zh-CN"/>
        </w:rPr>
        <w:t>0</w:t>
      </w:r>
      <w:r>
        <w:rPr>
          <w:sz w:val="30"/>
          <w:szCs w:val="30"/>
          <w:shd w:val="clear" w:fill="FFFFFF"/>
        </w:rPr>
        <w:t>%，</w:t>
      </w:r>
      <w:r>
        <w:rPr>
          <w:rFonts w:hint="eastAsia"/>
          <w:sz w:val="30"/>
          <w:szCs w:val="30"/>
          <w:shd w:val="clear" w:fill="FFFFFF"/>
          <w:lang w:val="en-US" w:eastAsia="zh-CN"/>
        </w:rPr>
        <w:t>与上年数持平，</w:t>
      </w:r>
      <w:r>
        <w:rPr>
          <w:sz w:val="30"/>
          <w:szCs w:val="30"/>
          <w:shd w:val="clear" w:fill="FFFFFF"/>
        </w:rPr>
        <w:t>主要原因是</w:t>
      </w:r>
      <w:r>
        <w:rPr>
          <w:rFonts w:hint="eastAsia"/>
          <w:sz w:val="30"/>
          <w:szCs w:val="30"/>
          <w:shd w:val="clear" w:fill="FFFFFF"/>
          <w:lang w:val="en-US" w:eastAsia="zh-CN"/>
        </w:rPr>
        <w:t>2</w:t>
      </w:r>
      <w:r>
        <w:rPr>
          <w:rFonts w:hint="eastAsia" w:ascii="宋体" w:hAnsi="宋体" w:eastAsia="宋体" w:cs="宋体"/>
          <w:color w:val="auto"/>
          <w:kern w:val="0"/>
          <w:sz w:val="32"/>
          <w:szCs w:val="32"/>
          <w:shd w:val="clear" w:fill="FFFFFF"/>
          <w:lang w:val="en-US" w:eastAsia="zh-CN" w:bidi="ar"/>
        </w:rPr>
        <w:t>022年度未购置公务用车。</w:t>
      </w:r>
    </w:p>
    <w:p>
      <w:pPr>
        <w:pStyle w:val="3"/>
        <w:keepNext w:val="0"/>
        <w:keepLines w:val="0"/>
        <w:widowControl/>
        <w:suppressLineNumbers w:val="0"/>
        <w:ind w:left="0" w:right="75"/>
        <w:jc w:val="left"/>
        <w:rPr>
          <w:rFonts w:hint="eastAsia"/>
          <w:sz w:val="30"/>
          <w:szCs w:val="30"/>
          <w:shd w:val="clear" w:fill="FFFFFF"/>
          <w:lang w:eastAsia="zh-CN"/>
        </w:rPr>
      </w:pPr>
      <w:r>
        <w:rPr>
          <w:sz w:val="30"/>
          <w:szCs w:val="30"/>
          <w:shd w:val="clear" w:fill="FFFFFF"/>
        </w:rPr>
        <w:t>公务车运行维护费0.00万元，主要用于</w:t>
      </w:r>
      <w:r>
        <w:rPr>
          <w:rFonts w:hint="eastAsia" w:ascii="宋体" w:hAnsi="宋体" w:eastAsia="宋体" w:cs="宋体"/>
          <w:color w:val="auto"/>
          <w:kern w:val="0"/>
          <w:sz w:val="32"/>
          <w:szCs w:val="32"/>
          <w:shd w:val="clear" w:fill="FFFFFF"/>
        </w:rPr>
        <w:t>机要文件交换、市内因公出行、行政业务检查等工作所需车辆的燃料费、维修费、过桥过路费、保险费等</w:t>
      </w:r>
      <w:r>
        <w:rPr>
          <w:color w:val="auto"/>
          <w:sz w:val="32"/>
          <w:szCs w:val="32"/>
          <w:shd w:val="clear" w:fill="FFFFFF"/>
        </w:rPr>
        <w:t>费用</w:t>
      </w:r>
      <w:r>
        <w:rPr>
          <w:rFonts w:hint="eastAsia"/>
          <w:color w:val="auto"/>
          <w:sz w:val="32"/>
          <w:szCs w:val="32"/>
          <w:shd w:val="clear" w:fill="FFFFFF"/>
          <w:lang w:eastAsia="zh-CN"/>
        </w:rPr>
        <w:t>。</w:t>
      </w:r>
      <w:r>
        <w:rPr>
          <w:rFonts w:hint="eastAsia"/>
          <w:sz w:val="30"/>
          <w:szCs w:val="30"/>
          <w:shd w:val="clear" w:fill="FFFFFF"/>
          <w:lang w:val="en-US" w:eastAsia="zh-CN"/>
        </w:rPr>
        <w:t>2</w:t>
      </w:r>
      <w:r>
        <w:rPr>
          <w:rFonts w:hint="eastAsia" w:ascii="宋体" w:hAnsi="宋体" w:eastAsia="宋体" w:cs="宋体"/>
          <w:color w:val="auto"/>
          <w:kern w:val="0"/>
          <w:sz w:val="32"/>
          <w:szCs w:val="32"/>
          <w:shd w:val="clear" w:fill="FFFFFF"/>
          <w:lang w:val="en-US" w:eastAsia="zh-CN" w:bidi="ar"/>
        </w:rPr>
        <w:t>022年度未发生</w:t>
      </w:r>
      <w:r>
        <w:rPr>
          <w:sz w:val="30"/>
          <w:szCs w:val="30"/>
          <w:shd w:val="clear" w:fill="FFFFFF"/>
        </w:rPr>
        <w:t>费用公务车运行维护费</w:t>
      </w:r>
      <w:r>
        <w:rPr>
          <w:rFonts w:hint="eastAsia"/>
          <w:sz w:val="30"/>
          <w:szCs w:val="30"/>
          <w:shd w:val="clear" w:fill="FFFFFF"/>
          <w:lang w:eastAsia="zh-CN"/>
        </w:rPr>
        <w:t>。</w:t>
      </w:r>
      <w:r>
        <w:rPr>
          <w:sz w:val="30"/>
          <w:szCs w:val="30"/>
          <w:shd w:val="clear" w:fill="FFFFFF"/>
        </w:rPr>
        <w:t>支出较年初预算数增加0.00万元，增长</w:t>
      </w:r>
      <w:r>
        <w:rPr>
          <w:rFonts w:hint="eastAsia"/>
          <w:sz w:val="30"/>
          <w:szCs w:val="30"/>
          <w:shd w:val="clear" w:fill="FFFFFF"/>
          <w:lang w:val="en-US" w:eastAsia="zh-CN"/>
        </w:rPr>
        <w:t>0</w:t>
      </w:r>
      <w:r>
        <w:rPr>
          <w:sz w:val="30"/>
          <w:szCs w:val="30"/>
          <w:shd w:val="clear" w:fill="FFFFFF"/>
        </w:rPr>
        <w:t>%，</w:t>
      </w:r>
      <w:r>
        <w:rPr>
          <w:rFonts w:hint="eastAsia"/>
          <w:sz w:val="30"/>
          <w:szCs w:val="30"/>
          <w:shd w:val="clear" w:fill="FFFFFF"/>
          <w:lang w:val="en-US" w:eastAsia="zh-CN"/>
        </w:rPr>
        <w:t>与年初数持平，</w:t>
      </w:r>
      <w:r>
        <w:rPr>
          <w:sz w:val="30"/>
          <w:szCs w:val="30"/>
          <w:shd w:val="clear" w:fill="FFFFFF"/>
        </w:rPr>
        <w:t>主要原因是</w:t>
      </w:r>
      <w:r>
        <w:rPr>
          <w:rFonts w:hint="eastAsia"/>
          <w:sz w:val="30"/>
          <w:szCs w:val="30"/>
          <w:shd w:val="clear" w:fill="FFFFFF"/>
          <w:lang w:val="en-US" w:eastAsia="zh-CN"/>
        </w:rPr>
        <w:t>2</w:t>
      </w:r>
      <w:r>
        <w:rPr>
          <w:rFonts w:hint="eastAsia" w:ascii="宋体" w:hAnsi="宋体" w:eastAsia="宋体" w:cs="宋体"/>
          <w:color w:val="auto"/>
          <w:kern w:val="0"/>
          <w:sz w:val="32"/>
          <w:szCs w:val="32"/>
          <w:shd w:val="clear" w:fill="FFFFFF"/>
          <w:lang w:val="en-US" w:eastAsia="zh-CN" w:bidi="ar"/>
        </w:rPr>
        <w:t>022年度未发生</w:t>
      </w:r>
      <w:r>
        <w:rPr>
          <w:sz w:val="30"/>
          <w:szCs w:val="30"/>
          <w:shd w:val="clear" w:fill="FFFFFF"/>
        </w:rPr>
        <w:t>费用公务车运行维护费</w:t>
      </w:r>
      <w:r>
        <w:rPr>
          <w:rFonts w:hint="eastAsia"/>
          <w:sz w:val="30"/>
          <w:szCs w:val="30"/>
          <w:shd w:val="clear" w:fill="FFFFFF"/>
          <w:lang w:eastAsia="zh-CN"/>
        </w:rPr>
        <w:t>。</w:t>
      </w:r>
      <w:r>
        <w:rPr>
          <w:sz w:val="30"/>
          <w:szCs w:val="30"/>
          <w:shd w:val="clear" w:fill="FFFFFF"/>
        </w:rPr>
        <w:t>较上年支出数增加0.00万元，增长</w:t>
      </w:r>
      <w:r>
        <w:rPr>
          <w:rFonts w:hint="eastAsia"/>
          <w:sz w:val="30"/>
          <w:szCs w:val="30"/>
          <w:shd w:val="clear" w:fill="FFFFFF"/>
          <w:lang w:val="en-US" w:eastAsia="zh-CN"/>
        </w:rPr>
        <w:t>0</w:t>
      </w:r>
      <w:r>
        <w:rPr>
          <w:sz w:val="30"/>
          <w:szCs w:val="30"/>
          <w:shd w:val="clear" w:fill="FFFFFF"/>
        </w:rPr>
        <w:t>%，</w:t>
      </w:r>
      <w:r>
        <w:rPr>
          <w:rFonts w:hint="eastAsia"/>
          <w:sz w:val="30"/>
          <w:szCs w:val="30"/>
          <w:shd w:val="clear" w:fill="FFFFFF"/>
          <w:lang w:val="en-US" w:eastAsia="zh-CN"/>
        </w:rPr>
        <w:t>与上年数持平，</w:t>
      </w:r>
      <w:r>
        <w:rPr>
          <w:sz w:val="30"/>
          <w:szCs w:val="30"/>
          <w:shd w:val="clear" w:fill="FFFFFF"/>
        </w:rPr>
        <w:t>主要原因是</w:t>
      </w:r>
      <w:r>
        <w:rPr>
          <w:rFonts w:hint="eastAsia"/>
          <w:sz w:val="30"/>
          <w:szCs w:val="30"/>
          <w:shd w:val="clear" w:fill="FFFFFF"/>
          <w:lang w:val="en-US" w:eastAsia="zh-CN"/>
        </w:rPr>
        <w:t>2</w:t>
      </w:r>
      <w:r>
        <w:rPr>
          <w:rFonts w:hint="eastAsia" w:ascii="宋体" w:hAnsi="宋体" w:eastAsia="宋体" w:cs="宋体"/>
          <w:color w:val="auto"/>
          <w:kern w:val="0"/>
          <w:sz w:val="32"/>
          <w:szCs w:val="32"/>
          <w:shd w:val="clear" w:fill="FFFFFF"/>
          <w:lang w:val="en-US" w:eastAsia="zh-CN" w:bidi="ar"/>
        </w:rPr>
        <w:t>022年度未发生</w:t>
      </w:r>
      <w:r>
        <w:rPr>
          <w:sz w:val="30"/>
          <w:szCs w:val="30"/>
          <w:shd w:val="clear" w:fill="FFFFFF"/>
        </w:rPr>
        <w:t>费用公务车运行维护费</w:t>
      </w:r>
      <w:r>
        <w:rPr>
          <w:rFonts w:hint="eastAsia"/>
          <w:sz w:val="30"/>
          <w:szCs w:val="30"/>
          <w:shd w:val="clear" w:fill="FFFFFF"/>
          <w:lang w:eastAsia="zh-CN"/>
        </w:rPr>
        <w:t>。</w:t>
      </w:r>
    </w:p>
    <w:p>
      <w:pPr>
        <w:pStyle w:val="3"/>
        <w:keepNext w:val="0"/>
        <w:keepLines w:val="0"/>
        <w:widowControl/>
        <w:suppressLineNumbers w:val="0"/>
        <w:ind w:left="0" w:right="75"/>
        <w:jc w:val="left"/>
        <w:rPr>
          <w:rFonts w:hint="default" w:ascii="宋体" w:hAnsi="宋体" w:eastAsia="宋体" w:cs="宋体"/>
          <w:color w:val="auto"/>
          <w:kern w:val="0"/>
          <w:sz w:val="32"/>
          <w:szCs w:val="32"/>
          <w:shd w:val="clear" w:fill="FFFFFF"/>
          <w:lang w:val="en-US" w:eastAsia="zh-CN" w:bidi="ar"/>
        </w:rPr>
      </w:pPr>
      <w:r>
        <w:rPr>
          <w:sz w:val="30"/>
          <w:szCs w:val="30"/>
          <w:shd w:val="clear" w:fill="FFFFFF"/>
        </w:rPr>
        <w:t>公务接待费7.11万元，</w:t>
      </w:r>
      <w:r>
        <w:rPr>
          <w:color w:val="auto"/>
          <w:sz w:val="32"/>
          <w:szCs w:val="32"/>
          <w:shd w:val="clear" w:fill="FFFFFF"/>
        </w:rPr>
        <w:t>主要用</w:t>
      </w:r>
      <w:r>
        <w:rPr>
          <w:rFonts w:hint="eastAsia" w:ascii="宋体" w:hAnsi="宋体" w:eastAsia="宋体" w:cs="宋体"/>
          <w:color w:val="auto"/>
          <w:kern w:val="0"/>
          <w:sz w:val="32"/>
          <w:szCs w:val="32"/>
          <w:shd w:val="clear" w:fill="FFFFFF"/>
          <w:lang w:val="en-US" w:eastAsia="zh-CN" w:bidi="ar"/>
        </w:rPr>
        <w:t>于接待接待招商引资客商等。费用支出较年初预算数减少1.65万元，下降18.8%，主要原因是一是强化公务接待支出管理，严格遵守公务接待开支范围和开支标准，二是有部分公务接待费在下属事业单位区海棠新城招商服务中心核算。较上年支出数增加7.11万元，增长100%，主要原因是2022年新增决算单位。</w:t>
      </w:r>
    </w:p>
    <w:p>
      <w:pPr>
        <w:pStyle w:val="3"/>
        <w:keepNext w:val="0"/>
        <w:keepLines w:val="0"/>
        <w:widowControl/>
        <w:suppressLineNumbers w:val="0"/>
        <w:ind w:left="0" w:right="75"/>
        <w:jc w:val="left"/>
        <w:rPr>
          <w:sz w:val="30"/>
          <w:szCs w:val="30"/>
        </w:rPr>
      </w:pPr>
      <w:r>
        <w:rPr>
          <w:rStyle w:val="5"/>
          <w:sz w:val="30"/>
          <w:szCs w:val="30"/>
          <w:shd w:val="clear" w:fill="FFFFFF"/>
        </w:rPr>
        <w:t>（三）“三公”经费实物量情况</w:t>
      </w:r>
    </w:p>
    <w:p>
      <w:pPr>
        <w:pStyle w:val="3"/>
        <w:keepNext w:val="0"/>
        <w:keepLines w:val="0"/>
        <w:widowControl/>
        <w:suppressLineNumbers w:val="0"/>
        <w:ind w:left="0" w:right="75"/>
        <w:jc w:val="left"/>
        <w:rPr>
          <w:sz w:val="30"/>
          <w:szCs w:val="30"/>
        </w:rPr>
      </w:pPr>
      <w:r>
        <w:rPr>
          <w:sz w:val="30"/>
          <w:szCs w:val="30"/>
          <w:shd w:val="clear" w:fill="FFFFFF"/>
        </w:rPr>
        <w:t>2022年度本部门因公出国（境）共计0个团组，0人；公务用车购置0辆，公务车保有量为0辆；国内公务接待184批次895人，其中：国内外事接待0批次，0人；国（境）外公务接待0批次，0人。2022年本部门人均接待费79.47元，车均购置费0.00万元，车均维护费0.00万元。</w:t>
      </w:r>
    </w:p>
    <w:p>
      <w:pPr>
        <w:pStyle w:val="3"/>
        <w:keepNext w:val="0"/>
        <w:keepLines w:val="0"/>
        <w:widowControl/>
        <w:suppressLineNumbers w:val="0"/>
        <w:ind w:left="0" w:right="75"/>
        <w:jc w:val="left"/>
        <w:rPr>
          <w:sz w:val="30"/>
          <w:szCs w:val="30"/>
        </w:rPr>
      </w:pPr>
      <w:r>
        <w:rPr>
          <w:rStyle w:val="5"/>
          <w:sz w:val="30"/>
          <w:szCs w:val="30"/>
          <w:shd w:val="clear" w:fill="FFFFFF"/>
        </w:rPr>
        <w:t>四、其他需要说明的事项</w:t>
      </w:r>
    </w:p>
    <w:p>
      <w:pPr>
        <w:pStyle w:val="3"/>
        <w:keepNext w:val="0"/>
        <w:keepLines w:val="0"/>
        <w:widowControl/>
        <w:suppressLineNumbers w:val="0"/>
        <w:ind w:left="0" w:right="75"/>
        <w:jc w:val="left"/>
        <w:rPr>
          <w:sz w:val="30"/>
          <w:szCs w:val="30"/>
        </w:rPr>
      </w:pPr>
      <w:r>
        <w:rPr>
          <w:rStyle w:val="5"/>
          <w:sz w:val="30"/>
          <w:szCs w:val="30"/>
          <w:shd w:val="clear" w:fill="FFFFFF"/>
        </w:rPr>
        <w:t>（一）财政拨款会议费和培训费情况说明</w:t>
      </w:r>
    </w:p>
    <w:p>
      <w:pPr>
        <w:pStyle w:val="3"/>
        <w:keepNext w:val="0"/>
        <w:keepLines w:val="0"/>
        <w:widowControl/>
        <w:suppressLineNumbers w:val="0"/>
        <w:ind w:left="0" w:right="75"/>
        <w:jc w:val="left"/>
        <w:rPr>
          <w:sz w:val="30"/>
          <w:szCs w:val="30"/>
        </w:rPr>
      </w:pPr>
      <w:r>
        <w:rPr>
          <w:sz w:val="30"/>
          <w:szCs w:val="30"/>
          <w:shd w:val="clear" w:fill="FFFFFF"/>
        </w:rPr>
        <w:t>本年度会议费支出0.00万元，较上年决算数增加0.00万元，增长</w:t>
      </w:r>
      <w:r>
        <w:rPr>
          <w:rFonts w:hint="eastAsia"/>
          <w:sz w:val="30"/>
          <w:szCs w:val="30"/>
          <w:shd w:val="clear" w:fill="FFFFFF"/>
          <w:lang w:val="en-US" w:eastAsia="zh-CN"/>
        </w:rPr>
        <w:t>0</w:t>
      </w:r>
      <w:r>
        <w:rPr>
          <w:sz w:val="30"/>
          <w:szCs w:val="30"/>
          <w:shd w:val="clear" w:fill="FFFFFF"/>
        </w:rPr>
        <w:t>%</w:t>
      </w:r>
      <w:r>
        <w:rPr>
          <w:rFonts w:hint="eastAsia"/>
          <w:sz w:val="30"/>
          <w:szCs w:val="30"/>
          <w:shd w:val="clear" w:fill="FFFFFF"/>
          <w:lang w:eastAsia="zh-CN"/>
        </w:rPr>
        <w:t>。</w:t>
      </w:r>
      <w:r>
        <w:rPr>
          <w:rFonts w:hint="eastAsia"/>
          <w:sz w:val="30"/>
          <w:szCs w:val="30"/>
          <w:shd w:val="clear" w:fill="FFFFFF"/>
          <w:lang w:val="en-US" w:eastAsia="zh-CN"/>
        </w:rPr>
        <w:t>主要原因是2022年无会议费开支。</w:t>
      </w:r>
      <w:r>
        <w:rPr>
          <w:sz w:val="30"/>
          <w:szCs w:val="30"/>
          <w:shd w:val="clear" w:fill="FFFFFF"/>
        </w:rPr>
        <w:t>本年度培训费支出1.09万元，较上年决算数增加1.09万元，增长</w:t>
      </w:r>
      <w:r>
        <w:rPr>
          <w:rFonts w:hint="eastAsia"/>
          <w:sz w:val="30"/>
          <w:szCs w:val="30"/>
          <w:shd w:val="clear" w:fill="FFFFFF"/>
          <w:lang w:val="en-US" w:eastAsia="zh-CN"/>
        </w:rPr>
        <w:t>100</w:t>
      </w:r>
      <w:r>
        <w:rPr>
          <w:sz w:val="30"/>
          <w:szCs w:val="30"/>
          <w:shd w:val="clear" w:fill="FFFFFF"/>
        </w:rPr>
        <w:t>%，主要原因是</w:t>
      </w:r>
      <w:r>
        <w:rPr>
          <w:rFonts w:hint="eastAsia"/>
          <w:color w:val="auto"/>
          <w:sz w:val="30"/>
          <w:szCs w:val="30"/>
          <w:shd w:val="clear" w:fill="FFFFFF"/>
          <w:lang w:val="en-US" w:eastAsia="zh-CN"/>
        </w:rPr>
        <w:t>2022年新增决算单位。</w:t>
      </w:r>
    </w:p>
    <w:p>
      <w:pPr>
        <w:pStyle w:val="3"/>
        <w:keepNext w:val="0"/>
        <w:keepLines w:val="0"/>
        <w:widowControl/>
        <w:suppressLineNumbers w:val="0"/>
        <w:ind w:left="0" w:right="75"/>
        <w:jc w:val="left"/>
        <w:rPr>
          <w:sz w:val="30"/>
          <w:szCs w:val="30"/>
        </w:rPr>
      </w:pPr>
      <w:r>
        <w:rPr>
          <w:rStyle w:val="5"/>
          <w:sz w:val="30"/>
          <w:szCs w:val="30"/>
          <w:shd w:val="clear" w:fill="FFFFFF"/>
        </w:rPr>
        <w:t>（二）机关运行经费支出情况说明</w:t>
      </w:r>
    </w:p>
    <w:p>
      <w:pPr>
        <w:pStyle w:val="3"/>
        <w:keepNext w:val="0"/>
        <w:keepLines w:val="0"/>
        <w:widowControl/>
        <w:suppressLineNumbers w:val="0"/>
        <w:ind w:left="0" w:right="75"/>
        <w:jc w:val="left"/>
        <w:rPr>
          <w:sz w:val="30"/>
          <w:szCs w:val="30"/>
          <w:shd w:val="clear" w:fill="FFFFFF"/>
        </w:rPr>
      </w:pPr>
      <w:r>
        <w:rPr>
          <w:sz w:val="30"/>
          <w:szCs w:val="30"/>
          <w:shd w:val="clear" w:fill="FFFFFF"/>
        </w:rPr>
        <w:t>按照部门决算列报口径，我单位不在机关运行经费统计范围之内</w:t>
      </w:r>
    </w:p>
    <w:p>
      <w:pPr>
        <w:pStyle w:val="3"/>
        <w:keepNext w:val="0"/>
        <w:keepLines w:val="0"/>
        <w:widowControl/>
        <w:suppressLineNumbers w:val="0"/>
        <w:ind w:left="0" w:right="75"/>
        <w:jc w:val="left"/>
        <w:rPr>
          <w:sz w:val="30"/>
          <w:szCs w:val="30"/>
        </w:rPr>
      </w:pPr>
      <w:r>
        <w:rPr>
          <w:rStyle w:val="5"/>
          <w:sz w:val="30"/>
          <w:szCs w:val="30"/>
          <w:shd w:val="clear" w:fill="FFFFFF"/>
        </w:rPr>
        <w:t>（三）国有资产占用情况说明</w:t>
      </w:r>
    </w:p>
    <w:p>
      <w:pPr>
        <w:pStyle w:val="3"/>
        <w:keepNext w:val="0"/>
        <w:keepLines w:val="0"/>
        <w:widowControl/>
        <w:suppressLineNumbers w:val="0"/>
        <w:ind w:left="0" w:right="75"/>
        <w:jc w:val="left"/>
        <w:rPr>
          <w:sz w:val="30"/>
          <w:szCs w:val="30"/>
        </w:rPr>
      </w:pPr>
      <w:r>
        <w:rPr>
          <w:sz w:val="30"/>
          <w:szCs w:val="30"/>
          <w:shd w:val="clear" w:fill="FFFFFF"/>
        </w:rPr>
        <w:t>截至2022年12月31日，本部门共有车辆0辆，其中，副部（省）级及以上领导用车0辆、主要领导干部用车0辆、机要通信用车0辆、应急保障用车0辆、执法执勤用车0辆，特种专业技术用车0辆，离退休干部用车0辆，其他用车0辆。单价100万元（含）以上设备（不含车辆）0台（套）。</w:t>
      </w:r>
    </w:p>
    <w:p>
      <w:pPr>
        <w:pStyle w:val="3"/>
        <w:keepNext w:val="0"/>
        <w:keepLines w:val="0"/>
        <w:widowControl/>
        <w:suppressLineNumbers w:val="0"/>
        <w:ind w:left="0" w:right="75"/>
        <w:jc w:val="left"/>
        <w:rPr>
          <w:b/>
          <w:bCs/>
          <w:sz w:val="30"/>
          <w:szCs w:val="30"/>
          <w:shd w:val="clear" w:fill="FFFFFF"/>
        </w:rPr>
      </w:pPr>
      <w:r>
        <w:rPr>
          <w:b/>
          <w:bCs/>
          <w:sz w:val="30"/>
          <w:szCs w:val="30"/>
          <w:shd w:val="clear" w:fill="FFFFFF"/>
        </w:rPr>
        <w:t>（四）政府采购支出说明</w:t>
      </w:r>
    </w:p>
    <w:p>
      <w:pPr>
        <w:pStyle w:val="3"/>
        <w:keepNext w:val="0"/>
        <w:keepLines w:val="0"/>
        <w:widowControl/>
        <w:suppressLineNumbers w:val="0"/>
        <w:ind w:left="0" w:right="75"/>
        <w:jc w:val="left"/>
        <w:rPr>
          <w:sz w:val="30"/>
          <w:szCs w:val="30"/>
          <w:shd w:val="clear" w:fill="FFFFFF"/>
        </w:rPr>
      </w:pPr>
      <w:r>
        <w:rPr>
          <w:sz w:val="30"/>
          <w:szCs w:val="30"/>
          <w:shd w:val="clear" w:fill="FFFFFF"/>
        </w:rPr>
        <w:t>2022年度我单位未发生政府采购事项，无相关经费支出。”</w:t>
      </w:r>
    </w:p>
    <w:p>
      <w:pPr>
        <w:pStyle w:val="3"/>
        <w:keepNext w:val="0"/>
        <w:keepLines w:val="0"/>
        <w:widowControl/>
        <w:suppressLineNumbers w:val="0"/>
        <w:ind w:left="0" w:right="75"/>
        <w:jc w:val="left"/>
        <w:rPr>
          <w:sz w:val="30"/>
          <w:szCs w:val="30"/>
        </w:rPr>
      </w:pPr>
      <w:r>
        <w:rPr>
          <w:rStyle w:val="5"/>
          <w:sz w:val="30"/>
          <w:szCs w:val="30"/>
          <w:shd w:val="clear" w:fill="FFFFFF"/>
        </w:rPr>
        <w:t>五、预算绩效管理情况说明</w:t>
      </w:r>
    </w:p>
    <w:p>
      <w:pPr>
        <w:pStyle w:val="3"/>
        <w:keepNext w:val="0"/>
        <w:keepLines w:val="0"/>
        <w:widowControl/>
        <w:suppressLineNumbers w:val="0"/>
        <w:ind w:left="0" w:right="75"/>
        <w:jc w:val="left"/>
        <w:rPr>
          <w:rStyle w:val="5"/>
          <w:sz w:val="30"/>
          <w:szCs w:val="30"/>
          <w:shd w:val="clear" w:fill="FFFFFF"/>
        </w:rPr>
      </w:pPr>
      <w:r>
        <w:rPr>
          <w:rStyle w:val="5"/>
          <w:sz w:val="30"/>
          <w:szCs w:val="30"/>
          <w:shd w:val="clear" w:fill="FFFFFF"/>
        </w:rPr>
        <w:t>（一）预算绩效管理工作开展情况</w:t>
      </w:r>
    </w:p>
    <w:p>
      <w:pPr>
        <w:pStyle w:val="3"/>
        <w:keepNext w:val="0"/>
        <w:keepLines w:val="0"/>
        <w:widowControl/>
        <w:suppressLineNumbers w:val="0"/>
        <w:ind w:left="0" w:right="75"/>
        <w:jc w:val="left"/>
        <w:rPr>
          <w:rFonts w:hint="eastAsia"/>
          <w:sz w:val="30"/>
          <w:szCs w:val="30"/>
          <w:shd w:val="clear" w:fill="FFFFFF"/>
          <w:lang w:eastAsia="zh-CN"/>
        </w:rPr>
      </w:pPr>
      <w:r>
        <w:rPr>
          <w:rFonts w:hint="eastAsia"/>
          <w:sz w:val="30"/>
          <w:szCs w:val="30"/>
          <w:shd w:val="clear" w:fill="FFFFFF"/>
          <w:lang w:val="en-US" w:eastAsia="zh-CN"/>
        </w:rPr>
        <w:t xml:space="preserve">   </w:t>
      </w:r>
      <w:bookmarkStart w:id="1" w:name="OLE_LINK2"/>
      <w:r>
        <w:rPr>
          <w:rFonts w:hint="eastAsia"/>
          <w:sz w:val="30"/>
          <w:szCs w:val="30"/>
          <w:shd w:val="clear" w:fill="FFFFFF"/>
          <w:lang w:val="en-US" w:eastAsia="zh-CN"/>
        </w:rPr>
        <w:t>本单位只有基本支出，</w:t>
      </w:r>
      <w:r>
        <w:rPr>
          <w:rFonts w:hint="eastAsia"/>
          <w:sz w:val="30"/>
          <w:szCs w:val="30"/>
          <w:shd w:val="clear" w:fill="FFFFFF"/>
          <w:lang w:eastAsia="zh-CN"/>
        </w:rPr>
        <w:t>无项目经费</w:t>
      </w:r>
      <w:r>
        <w:rPr>
          <w:rFonts w:hint="eastAsia"/>
          <w:sz w:val="30"/>
          <w:szCs w:val="30"/>
          <w:shd w:val="clear" w:fill="FFFFFF"/>
          <w:lang w:val="en-US" w:eastAsia="zh-CN"/>
        </w:rPr>
        <w:t>支出，项目经费在</w:t>
      </w:r>
      <w:r>
        <w:rPr>
          <w:sz w:val="30"/>
          <w:szCs w:val="30"/>
          <w:shd w:val="clear" w:fill="FFFFFF"/>
        </w:rPr>
        <w:t>区海棠新城开发区管理委员会（本级）</w:t>
      </w:r>
      <w:r>
        <w:rPr>
          <w:rFonts w:hint="eastAsia"/>
          <w:sz w:val="30"/>
          <w:szCs w:val="30"/>
          <w:shd w:val="clear" w:fill="FFFFFF"/>
          <w:lang w:val="en-US" w:eastAsia="zh-CN"/>
        </w:rPr>
        <w:t>核算，故无项目绩效自评。</w:t>
      </w:r>
    </w:p>
    <w:bookmarkEnd w:id="1"/>
    <w:p>
      <w:pPr>
        <w:pStyle w:val="3"/>
        <w:keepNext w:val="0"/>
        <w:keepLines w:val="0"/>
        <w:widowControl/>
        <w:suppressLineNumbers w:val="0"/>
        <w:ind w:left="0" w:right="75"/>
        <w:jc w:val="left"/>
        <w:rPr>
          <w:sz w:val="30"/>
          <w:szCs w:val="30"/>
        </w:rPr>
      </w:pPr>
      <w:r>
        <w:rPr>
          <w:rStyle w:val="5"/>
          <w:sz w:val="30"/>
          <w:szCs w:val="30"/>
          <w:shd w:val="clear" w:fill="FFFFFF"/>
        </w:rPr>
        <w:t>（二）绩效自评结果。</w:t>
      </w:r>
    </w:p>
    <w:p>
      <w:pPr>
        <w:pStyle w:val="3"/>
        <w:keepNext w:val="0"/>
        <w:keepLines w:val="0"/>
        <w:widowControl/>
        <w:suppressLineNumbers w:val="0"/>
        <w:ind w:left="0" w:right="75"/>
        <w:jc w:val="left"/>
        <w:rPr>
          <w:rStyle w:val="5"/>
          <w:sz w:val="30"/>
          <w:szCs w:val="30"/>
          <w:shd w:val="clear" w:fill="FFFFFF"/>
        </w:rPr>
      </w:pPr>
      <w:r>
        <w:rPr>
          <w:rStyle w:val="5"/>
          <w:sz w:val="30"/>
          <w:szCs w:val="30"/>
          <w:shd w:val="clear" w:fill="FFFFFF"/>
        </w:rPr>
        <w:t>1.绩效目标自评表。</w:t>
      </w:r>
    </w:p>
    <w:p>
      <w:pPr>
        <w:pStyle w:val="3"/>
        <w:keepNext w:val="0"/>
        <w:keepLines w:val="0"/>
        <w:widowControl/>
        <w:suppressLineNumbers w:val="0"/>
        <w:ind w:left="0" w:right="75"/>
        <w:jc w:val="left"/>
        <w:rPr>
          <w:rFonts w:hint="eastAsia"/>
          <w:sz w:val="30"/>
          <w:szCs w:val="30"/>
          <w:shd w:val="clear" w:fill="FFFFFF"/>
          <w:lang w:eastAsia="zh-CN"/>
        </w:rPr>
      </w:pPr>
      <w:r>
        <w:rPr>
          <w:rFonts w:hint="eastAsia"/>
          <w:sz w:val="30"/>
          <w:szCs w:val="30"/>
          <w:shd w:val="clear" w:fill="FFFFFF"/>
          <w:lang w:val="en-US" w:eastAsia="zh-CN"/>
        </w:rPr>
        <w:t>本单位只有基本支出，</w:t>
      </w:r>
      <w:r>
        <w:rPr>
          <w:rFonts w:hint="eastAsia"/>
          <w:sz w:val="30"/>
          <w:szCs w:val="30"/>
          <w:shd w:val="clear" w:fill="FFFFFF"/>
          <w:lang w:eastAsia="zh-CN"/>
        </w:rPr>
        <w:t>无项目经费</w:t>
      </w:r>
      <w:r>
        <w:rPr>
          <w:rFonts w:hint="eastAsia"/>
          <w:sz w:val="30"/>
          <w:szCs w:val="30"/>
          <w:shd w:val="clear" w:fill="FFFFFF"/>
          <w:lang w:val="en-US" w:eastAsia="zh-CN"/>
        </w:rPr>
        <w:t>支出，项目经费在</w:t>
      </w:r>
      <w:r>
        <w:rPr>
          <w:sz w:val="30"/>
          <w:szCs w:val="30"/>
          <w:shd w:val="clear" w:fill="FFFFFF"/>
        </w:rPr>
        <w:t>区海棠新城开发区管理委员会（本级）</w:t>
      </w:r>
      <w:r>
        <w:rPr>
          <w:rFonts w:hint="eastAsia"/>
          <w:sz w:val="30"/>
          <w:szCs w:val="30"/>
          <w:shd w:val="clear" w:fill="FFFFFF"/>
          <w:lang w:val="en-US" w:eastAsia="zh-CN"/>
        </w:rPr>
        <w:t>核算，故无项目绩效自评。</w:t>
      </w:r>
    </w:p>
    <w:p>
      <w:pPr>
        <w:pStyle w:val="3"/>
        <w:keepNext w:val="0"/>
        <w:keepLines w:val="0"/>
        <w:widowControl/>
        <w:suppressLineNumbers w:val="0"/>
        <w:ind w:left="0" w:right="75"/>
        <w:jc w:val="left"/>
        <w:rPr>
          <w:rStyle w:val="5"/>
          <w:sz w:val="30"/>
          <w:szCs w:val="30"/>
          <w:shd w:val="clear" w:fill="FFFFFF"/>
        </w:rPr>
      </w:pPr>
      <w:r>
        <w:rPr>
          <w:rStyle w:val="5"/>
          <w:rFonts w:hint="eastAsia"/>
          <w:sz w:val="30"/>
          <w:szCs w:val="30"/>
          <w:shd w:val="clear" w:fill="FFFFFF"/>
          <w:lang w:val="en-US" w:eastAsia="zh-CN"/>
        </w:rPr>
        <w:t>2、</w:t>
      </w:r>
      <w:r>
        <w:rPr>
          <w:rStyle w:val="5"/>
          <w:sz w:val="30"/>
          <w:szCs w:val="30"/>
          <w:shd w:val="clear" w:fill="FFFFFF"/>
        </w:rPr>
        <w:t>绩效自评报告或案例。</w:t>
      </w:r>
    </w:p>
    <w:p>
      <w:pPr>
        <w:pStyle w:val="3"/>
        <w:keepNext w:val="0"/>
        <w:keepLines w:val="0"/>
        <w:widowControl/>
        <w:suppressLineNumbers w:val="0"/>
        <w:ind w:left="0" w:right="75"/>
        <w:jc w:val="left"/>
        <w:rPr>
          <w:rStyle w:val="5"/>
          <w:sz w:val="30"/>
          <w:szCs w:val="30"/>
          <w:shd w:val="clear" w:fill="FFFFFF"/>
        </w:rPr>
      </w:pPr>
      <w:r>
        <w:rPr>
          <w:rFonts w:hint="eastAsia"/>
          <w:sz w:val="30"/>
          <w:szCs w:val="30"/>
          <w:shd w:val="clear" w:fill="FFFFFF"/>
          <w:lang w:val="en-US" w:eastAsia="zh-CN"/>
        </w:rPr>
        <w:t>本单位只有基本支出，</w:t>
      </w:r>
      <w:r>
        <w:rPr>
          <w:rFonts w:hint="eastAsia"/>
          <w:sz w:val="30"/>
          <w:szCs w:val="30"/>
          <w:shd w:val="clear" w:fill="FFFFFF"/>
          <w:lang w:eastAsia="zh-CN"/>
        </w:rPr>
        <w:t>无项目经费</w:t>
      </w:r>
      <w:r>
        <w:rPr>
          <w:rFonts w:hint="eastAsia"/>
          <w:sz w:val="30"/>
          <w:szCs w:val="30"/>
          <w:shd w:val="clear" w:fill="FFFFFF"/>
          <w:lang w:val="en-US" w:eastAsia="zh-CN"/>
        </w:rPr>
        <w:t>支出，项目经费在</w:t>
      </w:r>
      <w:r>
        <w:rPr>
          <w:sz w:val="30"/>
          <w:szCs w:val="30"/>
          <w:shd w:val="clear" w:fill="FFFFFF"/>
        </w:rPr>
        <w:t>区海棠新城开发区管理委员会（本级）</w:t>
      </w:r>
      <w:r>
        <w:rPr>
          <w:rFonts w:hint="eastAsia"/>
          <w:sz w:val="30"/>
          <w:szCs w:val="30"/>
          <w:shd w:val="clear" w:fill="FFFFFF"/>
          <w:lang w:val="en-US" w:eastAsia="zh-CN"/>
        </w:rPr>
        <w:t>核算，故无项目绩效自评。</w:t>
      </w:r>
    </w:p>
    <w:p>
      <w:pPr>
        <w:pStyle w:val="3"/>
        <w:keepNext w:val="0"/>
        <w:keepLines w:val="0"/>
        <w:widowControl/>
        <w:suppressLineNumbers w:val="0"/>
        <w:ind w:left="0" w:right="75"/>
        <w:jc w:val="left"/>
        <w:rPr>
          <w:rStyle w:val="5"/>
          <w:sz w:val="30"/>
          <w:szCs w:val="30"/>
          <w:shd w:val="clear" w:fill="FFFFFF"/>
        </w:rPr>
      </w:pPr>
      <w:r>
        <w:rPr>
          <w:rStyle w:val="5"/>
          <w:rFonts w:hint="eastAsia"/>
          <w:sz w:val="30"/>
          <w:szCs w:val="30"/>
          <w:shd w:val="clear" w:fill="FFFFFF"/>
          <w:lang w:val="en-US" w:eastAsia="zh-CN"/>
        </w:rPr>
        <w:t>3、</w:t>
      </w:r>
      <w:r>
        <w:rPr>
          <w:rStyle w:val="5"/>
          <w:sz w:val="30"/>
          <w:szCs w:val="30"/>
          <w:shd w:val="clear" w:fill="FFFFFF"/>
        </w:rPr>
        <w:t>关于绩效自评结果的说明。</w:t>
      </w:r>
    </w:p>
    <w:p>
      <w:pPr>
        <w:pStyle w:val="3"/>
        <w:keepNext w:val="0"/>
        <w:keepLines w:val="0"/>
        <w:widowControl/>
        <w:suppressLineNumbers w:val="0"/>
        <w:ind w:left="0" w:right="75"/>
        <w:jc w:val="left"/>
        <w:rPr>
          <w:rStyle w:val="5"/>
          <w:sz w:val="30"/>
          <w:szCs w:val="30"/>
          <w:shd w:val="clear" w:fill="FFFFFF"/>
        </w:rPr>
      </w:pPr>
      <w:r>
        <w:rPr>
          <w:rFonts w:hint="eastAsia"/>
          <w:sz w:val="30"/>
          <w:szCs w:val="30"/>
          <w:shd w:val="clear" w:fill="FFFFFF"/>
          <w:lang w:val="en-US" w:eastAsia="zh-CN"/>
        </w:rPr>
        <w:t>本单位只有基本支出，</w:t>
      </w:r>
      <w:r>
        <w:rPr>
          <w:rFonts w:hint="eastAsia"/>
          <w:sz w:val="30"/>
          <w:szCs w:val="30"/>
          <w:shd w:val="clear" w:fill="FFFFFF"/>
          <w:lang w:eastAsia="zh-CN"/>
        </w:rPr>
        <w:t>无项目经费</w:t>
      </w:r>
      <w:r>
        <w:rPr>
          <w:rFonts w:hint="eastAsia"/>
          <w:sz w:val="30"/>
          <w:szCs w:val="30"/>
          <w:shd w:val="clear" w:fill="FFFFFF"/>
          <w:lang w:val="en-US" w:eastAsia="zh-CN"/>
        </w:rPr>
        <w:t>支出，项目经费在</w:t>
      </w:r>
      <w:r>
        <w:rPr>
          <w:sz w:val="30"/>
          <w:szCs w:val="30"/>
          <w:shd w:val="clear" w:fill="FFFFFF"/>
        </w:rPr>
        <w:t>区海棠新城开发区管理委员会（本级）</w:t>
      </w:r>
      <w:r>
        <w:rPr>
          <w:rFonts w:hint="eastAsia"/>
          <w:sz w:val="30"/>
          <w:szCs w:val="30"/>
          <w:shd w:val="clear" w:fill="FFFFFF"/>
          <w:lang w:val="en-US" w:eastAsia="zh-CN"/>
        </w:rPr>
        <w:t>核算，故无项目绩效自评。</w:t>
      </w:r>
    </w:p>
    <w:p>
      <w:pPr>
        <w:pStyle w:val="3"/>
        <w:keepNext w:val="0"/>
        <w:keepLines w:val="0"/>
        <w:widowControl/>
        <w:numPr>
          <w:numId w:val="0"/>
        </w:numPr>
        <w:suppressLineNumbers w:val="0"/>
        <w:ind w:right="75" w:rightChars="0"/>
        <w:jc w:val="left"/>
        <w:rPr>
          <w:rFonts w:hint="eastAsia" w:eastAsiaTheme="minorEastAsia"/>
          <w:sz w:val="30"/>
          <w:szCs w:val="30"/>
          <w:lang w:eastAsia="zh-CN"/>
        </w:rPr>
      </w:pPr>
      <w:r>
        <w:rPr>
          <w:rStyle w:val="5"/>
          <w:sz w:val="30"/>
          <w:szCs w:val="30"/>
          <w:shd w:val="clear" w:fill="FFFFFF"/>
        </w:rPr>
        <w:t>（三）重点绩效评价结果。</w:t>
      </w:r>
      <w:r>
        <w:rPr>
          <w:rStyle w:val="5"/>
          <w:rFonts w:hint="eastAsia"/>
          <w:sz w:val="30"/>
          <w:szCs w:val="30"/>
          <w:shd w:val="clear" w:fill="FFFFFF"/>
          <w:lang w:eastAsia="zh-CN"/>
        </w:rPr>
        <w:t>无</w:t>
      </w:r>
    </w:p>
    <w:p>
      <w:pPr>
        <w:pStyle w:val="3"/>
        <w:keepNext w:val="0"/>
        <w:keepLines w:val="0"/>
        <w:widowControl/>
        <w:suppressLineNumbers w:val="0"/>
        <w:ind w:left="0" w:right="75"/>
        <w:jc w:val="left"/>
        <w:rPr>
          <w:sz w:val="30"/>
          <w:szCs w:val="30"/>
        </w:rPr>
      </w:pPr>
      <w:r>
        <w:rPr>
          <w:rStyle w:val="5"/>
          <w:sz w:val="30"/>
          <w:szCs w:val="30"/>
          <w:shd w:val="clear" w:fill="FFFFFF"/>
        </w:rPr>
        <w:t>六、专业名词解释</w:t>
      </w:r>
    </w:p>
    <w:p>
      <w:pPr>
        <w:pStyle w:val="3"/>
        <w:keepNext w:val="0"/>
        <w:keepLines w:val="0"/>
        <w:widowControl/>
        <w:suppressLineNumbers w:val="0"/>
        <w:ind w:left="0" w:right="75"/>
        <w:jc w:val="left"/>
        <w:rPr>
          <w:sz w:val="30"/>
          <w:szCs w:val="30"/>
        </w:rPr>
      </w:pPr>
      <w:r>
        <w:rPr>
          <w:rStyle w:val="5"/>
          <w:sz w:val="30"/>
          <w:szCs w:val="30"/>
          <w:shd w:val="clear" w:fill="FFFFFF"/>
        </w:rPr>
        <w:t>（一）财政拨款收入</w:t>
      </w:r>
      <w:r>
        <w:rPr>
          <w:sz w:val="30"/>
          <w:szCs w:val="30"/>
          <w:shd w:val="clear" w:fill="FFFFFF"/>
        </w:rPr>
        <w:t>：指本年度从本级财政部门取得的财政拨款，包括一般公共预算财政拨款和政府性基金预算财政拨款。</w:t>
      </w:r>
    </w:p>
    <w:p>
      <w:pPr>
        <w:pStyle w:val="3"/>
        <w:keepNext w:val="0"/>
        <w:keepLines w:val="0"/>
        <w:widowControl/>
        <w:suppressLineNumbers w:val="0"/>
        <w:ind w:left="0" w:right="75"/>
        <w:jc w:val="left"/>
        <w:rPr>
          <w:sz w:val="30"/>
          <w:szCs w:val="30"/>
        </w:rPr>
      </w:pPr>
      <w:r>
        <w:rPr>
          <w:rStyle w:val="5"/>
          <w:sz w:val="30"/>
          <w:szCs w:val="30"/>
          <w:shd w:val="clear" w:fill="FFFFFF"/>
        </w:rPr>
        <w:t>（二）事业收入</w:t>
      </w:r>
      <w:r>
        <w:rPr>
          <w:sz w:val="30"/>
          <w:szCs w:val="30"/>
          <w:shd w:val="clear" w:fill="FFFFFF"/>
        </w:rPr>
        <w:t>：指事业单位开展专业业务活动及其辅助活动取得的现金流入；事业单位收到的财政专户实际核拨的教育收费等资金在此反映。</w:t>
      </w:r>
    </w:p>
    <w:p>
      <w:pPr>
        <w:pStyle w:val="3"/>
        <w:keepNext w:val="0"/>
        <w:keepLines w:val="0"/>
        <w:widowControl/>
        <w:suppressLineNumbers w:val="0"/>
        <w:ind w:left="0" w:right="75"/>
        <w:jc w:val="left"/>
        <w:rPr>
          <w:sz w:val="30"/>
          <w:szCs w:val="30"/>
        </w:rPr>
      </w:pPr>
      <w:r>
        <w:rPr>
          <w:rStyle w:val="5"/>
          <w:sz w:val="30"/>
          <w:szCs w:val="30"/>
          <w:shd w:val="clear" w:fill="FFFFFF"/>
        </w:rPr>
        <w:t>（三）经营收入</w:t>
      </w:r>
      <w:r>
        <w:rPr>
          <w:sz w:val="30"/>
          <w:szCs w:val="30"/>
          <w:shd w:val="clear" w:fill="FFFFFF"/>
        </w:rPr>
        <w:t>：指事业单位在专业业务活动及其辅助活动之外开展非独立核算经营活动取得的现金流入。</w:t>
      </w:r>
    </w:p>
    <w:p>
      <w:pPr>
        <w:pStyle w:val="3"/>
        <w:keepNext w:val="0"/>
        <w:keepLines w:val="0"/>
        <w:widowControl/>
        <w:suppressLineNumbers w:val="0"/>
        <w:ind w:left="0" w:right="75"/>
        <w:jc w:val="left"/>
        <w:rPr>
          <w:sz w:val="30"/>
          <w:szCs w:val="30"/>
        </w:rPr>
      </w:pPr>
      <w:r>
        <w:rPr>
          <w:rStyle w:val="5"/>
          <w:sz w:val="30"/>
          <w:szCs w:val="30"/>
          <w:shd w:val="clear" w:fill="FFFFFF"/>
        </w:rPr>
        <w:t>（四）其他收入</w:t>
      </w:r>
      <w:r>
        <w:rPr>
          <w:sz w:val="30"/>
          <w:szCs w:val="30"/>
          <w:shd w:val="clear"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3"/>
        <w:keepNext w:val="0"/>
        <w:keepLines w:val="0"/>
        <w:widowControl/>
        <w:suppressLineNumbers w:val="0"/>
        <w:ind w:left="0" w:right="75"/>
        <w:jc w:val="left"/>
        <w:rPr>
          <w:sz w:val="30"/>
          <w:szCs w:val="30"/>
        </w:rPr>
      </w:pPr>
      <w:r>
        <w:rPr>
          <w:rStyle w:val="5"/>
          <w:sz w:val="30"/>
          <w:szCs w:val="30"/>
          <w:shd w:val="clear" w:fill="FFFFFF"/>
        </w:rPr>
        <w:t>（五）使用非财政拨款结余</w:t>
      </w:r>
      <w:r>
        <w:rPr>
          <w:sz w:val="30"/>
          <w:szCs w:val="30"/>
          <w:shd w:val="clear" w:fill="FFFFFF"/>
        </w:rPr>
        <w:t>：指单位在当年的“财政拨款收入”、“事业收入”、“经营收入”、“其他收入”等不足以安排当年支出的情况下，使用以前年度积累的非财政拨款结余弥补本年度收支缺口的资金。</w:t>
      </w:r>
    </w:p>
    <w:p>
      <w:pPr>
        <w:pStyle w:val="3"/>
        <w:keepNext w:val="0"/>
        <w:keepLines w:val="0"/>
        <w:widowControl/>
        <w:suppressLineNumbers w:val="0"/>
        <w:ind w:left="0" w:right="75"/>
        <w:jc w:val="left"/>
        <w:rPr>
          <w:sz w:val="30"/>
          <w:szCs w:val="30"/>
        </w:rPr>
      </w:pPr>
      <w:r>
        <w:rPr>
          <w:rStyle w:val="5"/>
          <w:sz w:val="30"/>
          <w:szCs w:val="30"/>
          <w:shd w:val="clear" w:fill="FFFFFF"/>
        </w:rPr>
        <w:t>（六）年初结转和结余</w:t>
      </w:r>
      <w:r>
        <w:rPr>
          <w:sz w:val="30"/>
          <w:szCs w:val="30"/>
          <w:shd w:val="clear" w:fill="FFFFFF"/>
        </w:rPr>
        <w:t>：指单位上年结转本年使用的基本支出结转、项目支出结转和结余、经营结余。</w:t>
      </w:r>
    </w:p>
    <w:p>
      <w:pPr>
        <w:pStyle w:val="3"/>
        <w:keepNext w:val="0"/>
        <w:keepLines w:val="0"/>
        <w:widowControl/>
        <w:suppressLineNumbers w:val="0"/>
        <w:ind w:left="0" w:right="75"/>
        <w:jc w:val="left"/>
        <w:rPr>
          <w:sz w:val="30"/>
          <w:szCs w:val="30"/>
        </w:rPr>
      </w:pPr>
      <w:r>
        <w:rPr>
          <w:rStyle w:val="5"/>
          <w:sz w:val="30"/>
          <w:szCs w:val="30"/>
          <w:shd w:val="clear" w:fill="FFFFFF"/>
        </w:rPr>
        <w:t>（七）结余分配</w:t>
      </w:r>
      <w:r>
        <w:rPr>
          <w:sz w:val="30"/>
          <w:szCs w:val="30"/>
          <w:shd w:val="clear" w:fill="FFFFFF"/>
        </w:rPr>
        <w:t>：指单位按照国家有关规定，缴纳所得税、提取专用基金、转入非财政拨款结余等当年结余的分配情况。</w:t>
      </w:r>
    </w:p>
    <w:p>
      <w:pPr>
        <w:pStyle w:val="3"/>
        <w:keepNext w:val="0"/>
        <w:keepLines w:val="0"/>
        <w:widowControl/>
        <w:suppressLineNumbers w:val="0"/>
        <w:ind w:left="0" w:right="75"/>
        <w:jc w:val="left"/>
        <w:rPr>
          <w:sz w:val="30"/>
          <w:szCs w:val="30"/>
        </w:rPr>
      </w:pPr>
      <w:r>
        <w:rPr>
          <w:rStyle w:val="5"/>
          <w:sz w:val="30"/>
          <w:szCs w:val="30"/>
          <w:shd w:val="clear" w:fill="FFFFFF"/>
        </w:rPr>
        <w:t>（八）年末结转和结余</w:t>
      </w:r>
      <w:r>
        <w:rPr>
          <w:sz w:val="30"/>
          <w:szCs w:val="30"/>
          <w:shd w:val="clear" w:fill="FFFFFF"/>
        </w:rPr>
        <w:t>：指单位结转下年的基本支出结转、项目支出结转和结余、经营结余。</w:t>
      </w:r>
    </w:p>
    <w:p>
      <w:pPr>
        <w:pStyle w:val="3"/>
        <w:keepNext w:val="0"/>
        <w:keepLines w:val="0"/>
        <w:widowControl/>
        <w:suppressLineNumbers w:val="0"/>
        <w:ind w:left="0" w:right="75"/>
        <w:jc w:val="left"/>
        <w:rPr>
          <w:sz w:val="30"/>
          <w:szCs w:val="30"/>
        </w:rPr>
      </w:pPr>
      <w:r>
        <w:rPr>
          <w:rStyle w:val="5"/>
          <w:sz w:val="30"/>
          <w:szCs w:val="30"/>
          <w:shd w:val="clear" w:fill="FFFFFF"/>
        </w:rPr>
        <w:t>（九）基本支出</w:t>
      </w:r>
      <w:r>
        <w:rPr>
          <w:sz w:val="30"/>
          <w:szCs w:val="30"/>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3"/>
        <w:keepNext w:val="0"/>
        <w:keepLines w:val="0"/>
        <w:widowControl/>
        <w:suppressLineNumbers w:val="0"/>
        <w:ind w:left="0" w:right="75"/>
        <w:jc w:val="left"/>
        <w:rPr>
          <w:sz w:val="30"/>
          <w:szCs w:val="30"/>
        </w:rPr>
      </w:pPr>
      <w:r>
        <w:rPr>
          <w:rStyle w:val="5"/>
          <w:sz w:val="30"/>
          <w:szCs w:val="30"/>
          <w:shd w:val="clear" w:fill="FFFFFF"/>
        </w:rPr>
        <w:t>（十）项目支出</w:t>
      </w:r>
      <w:r>
        <w:rPr>
          <w:sz w:val="30"/>
          <w:szCs w:val="30"/>
          <w:shd w:val="clear" w:fill="FFFFFF"/>
        </w:rPr>
        <w:t>：指在基本支出之外为完成特定行政任务和事业发展目标所发生的支出。</w:t>
      </w:r>
    </w:p>
    <w:p>
      <w:pPr>
        <w:pStyle w:val="3"/>
        <w:keepNext w:val="0"/>
        <w:keepLines w:val="0"/>
        <w:widowControl/>
        <w:suppressLineNumbers w:val="0"/>
        <w:ind w:left="0" w:right="75"/>
        <w:jc w:val="left"/>
        <w:rPr>
          <w:sz w:val="30"/>
          <w:szCs w:val="30"/>
        </w:rPr>
      </w:pPr>
      <w:r>
        <w:rPr>
          <w:rStyle w:val="5"/>
          <w:sz w:val="30"/>
          <w:szCs w:val="30"/>
          <w:shd w:val="clear" w:fill="FFFFFF"/>
        </w:rPr>
        <w:t>（十一）经营支出</w:t>
      </w:r>
      <w:r>
        <w:rPr>
          <w:sz w:val="30"/>
          <w:szCs w:val="30"/>
          <w:shd w:val="clear" w:fill="FFFFFF"/>
        </w:rPr>
        <w:t>：指事业单位在专业业务活动及其辅助活动之外开展非独立核算经营活动发生的支出。</w:t>
      </w:r>
    </w:p>
    <w:p>
      <w:pPr>
        <w:pStyle w:val="3"/>
        <w:keepNext w:val="0"/>
        <w:keepLines w:val="0"/>
        <w:widowControl/>
        <w:suppressLineNumbers w:val="0"/>
        <w:ind w:left="0" w:right="75"/>
        <w:jc w:val="left"/>
        <w:rPr>
          <w:sz w:val="30"/>
          <w:szCs w:val="30"/>
        </w:rPr>
      </w:pPr>
      <w:r>
        <w:rPr>
          <w:rStyle w:val="5"/>
          <w:sz w:val="30"/>
          <w:szCs w:val="30"/>
          <w:shd w:val="clear" w:fill="FFFFFF"/>
        </w:rPr>
        <w:t>（十二）“三公”经费</w:t>
      </w:r>
      <w:r>
        <w:rPr>
          <w:sz w:val="30"/>
          <w:szCs w:val="30"/>
          <w:shd w:val="clear" w:fill="FFFFFF"/>
        </w:rP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3"/>
        <w:keepNext w:val="0"/>
        <w:keepLines w:val="0"/>
        <w:widowControl/>
        <w:suppressLineNumbers w:val="0"/>
        <w:ind w:left="0" w:right="75"/>
        <w:jc w:val="left"/>
        <w:rPr>
          <w:sz w:val="30"/>
          <w:szCs w:val="30"/>
        </w:rPr>
      </w:pPr>
      <w:r>
        <w:rPr>
          <w:rStyle w:val="5"/>
          <w:sz w:val="30"/>
          <w:szCs w:val="30"/>
          <w:shd w:val="clear" w:fill="FFFFFF"/>
        </w:rPr>
        <w:t>（十三）机关运行经费</w:t>
      </w:r>
      <w:r>
        <w:rPr>
          <w:sz w:val="30"/>
          <w:szCs w:val="30"/>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3"/>
        <w:keepNext w:val="0"/>
        <w:keepLines w:val="0"/>
        <w:widowControl/>
        <w:suppressLineNumbers w:val="0"/>
        <w:ind w:left="0" w:right="75"/>
        <w:jc w:val="left"/>
        <w:rPr>
          <w:sz w:val="30"/>
          <w:szCs w:val="30"/>
        </w:rPr>
      </w:pPr>
      <w:r>
        <w:rPr>
          <w:rStyle w:val="5"/>
          <w:sz w:val="30"/>
          <w:szCs w:val="30"/>
          <w:shd w:val="clear" w:fill="FFFFFF"/>
        </w:rPr>
        <w:t>（十四）工资福利支出（支出经济分类科目类级）</w:t>
      </w:r>
      <w:r>
        <w:rPr>
          <w:sz w:val="30"/>
          <w:szCs w:val="30"/>
          <w:shd w:val="clear" w:fill="FFFFFF"/>
        </w:rPr>
        <w:t>：反映单位开支的在职职工和编制外长期聘用人员的各类劳动报酬，以及为上述人员缴纳的各项社会保险费等。</w:t>
      </w:r>
    </w:p>
    <w:p>
      <w:pPr>
        <w:pStyle w:val="3"/>
        <w:keepNext w:val="0"/>
        <w:keepLines w:val="0"/>
        <w:widowControl/>
        <w:suppressLineNumbers w:val="0"/>
        <w:ind w:left="0" w:right="75"/>
        <w:jc w:val="left"/>
        <w:rPr>
          <w:sz w:val="30"/>
          <w:szCs w:val="30"/>
        </w:rPr>
      </w:pPr>
      <w:r>
        <w:rPr>
          <w:rStyle w:val="5"/>
          <w:sz w:val="30"/>
          <w:szCs w:val="30"/>
          <w:shd w:val="clear" w:fill="FFFFFF"/>
        </w:rPr>
        <w:t>（十五）商品和服务支出（支出经济分类科目类级）</w:t>
      </w:r>
      <w:r>
        <w:rPr>
          <w:sz w:val="30"/>
          <w:szCs w:val="30"/>
          <w:shd w:val="clear" w:fill="FFFFFF"/>
        </w:rPr>
        <w:t>：反映单位购买商品和服务的支出（不包括用于购置固定资产的支出、战略性和应急储备支出）。</w:t>
      </w:r>
    </w:p>
    <w:p>
      <w:pPr>
        <w:pStyle w:val="3"/>
        <w:keepNext w:val="0"/>
        <w:keepLines w:val="0"/>
        <w:widowControl/>
        <w:suppressLineNumbers w:val="0"/>
        <w:ind w:left="0" w:right="75"/>
        <w:jc w:val="left"/>
        <w:rPr>
          <w:sz w:val="30"/>
          <w:szCs w:val="30"/>
        </w:rPr>
      </w:pPr>
      <w:r>
        <w:rPr>
          <w:rStyle w:val="5"/>
          <w:sz w:val="30"/>
          <w:szCs w:val="30"/>
          <w:shd w:val="clear" w:fill="FFFFFF"/>
        </w:rPr>
        <w:t>（十六）对个人和家庭的补助（支出经济分类科目类级）</w:t>
      </w:r>
      <w:r>
        <w:rPr>
          <w:sz w:val="30"/>
          <w:szCs w:val="30"/>
          <w:shd w:val="clear" w:fill="FFFFFF"/>
        </w:rPr>
        <w:t>：反映用于对个人和家庭的补助支出。</w:t>
      </w:r>
    </w:p>
    <w:p>
      <w:pPr>
        <w:pStyle w:val="3"/>
        <w:keepNext w:val="0"/>
        <w:keepLines w:val="0"/>
        <w:widowControl/>
        <w:suppressLineNumbers w:val="0"/>
        <w:ind w:left="0" w:right="75"/>
        <w:jc w:val="left"/>
        <w:rPr>
          <w:sz w:val="30"/>
          <w:szCs w:val="30"/>
        </w:rPr>
      </w:pPr>
      <w:r>
        <w:rPr>
          <w:rStyle w:val="5"/>
          <w:sz w:val="30"/>
          <w:szCs w:val="30"/>
          <w:shd w:val="clear" w:fill="FFFFFF"/>
        </w:rPr>
        <w:t>（十七）其他资本性支出（支出经济分类科目类级）</w:t>
      </w:r>
      <w:r>
        <w:rPr>
          <w:sz w:val="30"/>
          <w:szCs w:val="30"/>
          <w:shd w:val="clear" w:fill="FFFFFF"/>
        </w:rPr>
        <w:t>：反映非各级发展与改革部门集中安排的用于购置固定资产、战略性和应急性储备、土地和无形资产，以及构建基础设施、大型修缮和财政支持企业更新改造所发生的支出。</w:t>
      </w:r>
    </w:p>
    <w:p>
      <w:pPr>
        <w:pStyle w:val="3"/>
        <w:keepNext w:val="0"/>
        <w:keepLines w:val="0"/>
        <w:widowControl/>
        <w:suppressLineNumbers w:val="0"/>
        <w:ind w:left="0" w:right="75"/>
        <w:jc w:val="left"/>
        <w:rPr>
          <w:sz w:val="30"/>
          <w:szCs w:val="30"/>
        </w:rPr>
      </w:pPr>
      <w:r>
        <w:rPr>
          <w:rStyle w:val="5"/>
          <w:sz w:val="30"/>
          <w:szCs w:val="30"/>
          <w:shd w:val="clear" w:fill="FFFFFF"/>
        </w:rPr>
        <w:t>七、决算公开联系方式及信息反馈渠道</w:t>
      </w:r>
    </w:p>
    <w:p>
      <w:pPr>
        <w:pStyle w:val="3"/>
        <w:keepNext w:val="0"/>
        <w:keepLines w:val="0"/>
        <w:widowControl/>
        <w:suppressLineNumbers w:val="0"/>
        <w:ind w:left="0" w:right="75"/>
        <w:jc w:val="left"/>
        <w:rPr>
          <w:sz w:val="30"/>
          <w:szCs w:val="30"/>
        </w:rPr>
      </w:pPr>
      <w:r>
        <w:rPr>
          <w:sz w:val="30"/>
          <w:szCs w:val="30"/>
          <w:shd w:val="clear" w:fill="FFFFFF"/>
        </w:rPr>
        <w:t>本单位决算公开信息反馈和联系方式：</w:t>
      </w:r>
    </w:p>
    <w:p>
      <w:pPr>
        <w:pStyle w:val="3"/>
        <w:keepNext w:val="0"/>
        <w:keepLines w:val="0"/>
        <w:widowControl/>
        <w:suppressLineNumbers w:val="0"/>
        <w:ind w:left="0" w:right="75"/>
        <w:jc w:val="left"/>
        <w:rPr>
          <w:color w:val="auto"/>
          <w:sz w:val="32"/>
          <w:szCs w:val="32"/>
        </w:rPr>
      </w:pPr>
      <w:r>
        <w:rPr>
          <w:rFonts w:hint="eastAsia"/>
          <w:color w:val="auto"/>
          <w:sz w:val="32"/>
          <w:szCs w:val="32"/>
          <w:shd w:val="clear" w:fill="FFFFFF"/>
          <w:lang w:val="en-US" w:eastAsia="zh-CN"/>
        </w:rPr>
        <w:t>联系人：龙云   联系方式：</w:t>
      </w:r>
      <w:r>
        <w:rPr>
          <w:color w:val="auto"/>
          <w:sz w:val="32"/>
          <w:szCs w:val="32"/>
          <w:shd w:val="clear" w:fill="FFFFFF"/>
        </w:rPr>
        <w:t>   023-</w:t>
      </w:r>
      <w:r>
        <w:rPr>
          <w:rFonts w:hint="eastAsia"/>
          <w:color w:val="auto"/>
          <w:sz w:val="32"/>
          <w:szCs w:val="32"/>
          <w:shd w:val="clear" w:fill="FFFFFF"/>
          <w:lang w:val="en-US" w:eastAsia="zh-CN"/>
        </w:rPr>
        <w:t>43785289</w:t>
      </w:r>
    </w:p>
    <w:p>
      <w:pPr>
        <w:rPr>
          <w:sz w:val="30"/>
          <w:szCs w:val="30"/>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NGZmODc1MDdhMmU5YTJiOTEyMDYxMWM1NjUzZTAifQ=="/>
  </w:docVars>
  <w:rsids>
    <w:rsidRoot w:val="1DB52F48"/>
    <w:rsid w:val="01561AF4"/>
    <w:rsid w:val="02B40E52"/>
    <w:rsid w:val="04F43B4A"/>
    <w:rsid w:val="04F57019"/>
    <w:rsid w:val="05E408FA"/>
    <w:rsid w:val="06401670"/>
    <w:rsid w:val="080D7CF5"/>
    <w:rsid w:val="09D931E1"/>
    <w:rsid w:val="0C4B2D86"/>
    <w:rsid w:val="0DE1141D"/>
    <w:rsid w:val="129D364C"/>
    <w:rsid w:val="13C43E7A"/>
    <w:rsid w:val="169B04D7"/>
    <w:rsid w:val="17DA1A9C"/>
    <w:rsid w:val="1C7A7E67"/>
    <w:rsid w:val="1DB52F48"/>
    <w:rsid w:val="243B784B"/>
    <w:rsid w:val="25213E48"/>
    <w:rsid w:val="25D83326"/>
    <w:rsid w:val="26085B62"/>
    <w:rsid w:val="3A325971"/>
    <w:rsid w:val="3CEF2F4E"/>
    <w:rsid w:val="3E5225B6"/>
    <w:rsid w:val="41344EDB"/>
    <w:rsid w:val="42F44669"/>
    <w:rsid w:val="46B41894"/>
    <w:rsid w:val="4AB269FD"/>
    <w:rsid w:val="4AED14B6"/>
    <w:rsid w:val="4D961B0E"/>
    <w:rsid w:val="516C0949"/>
    <w:rsid w:val="544630D0"/>
    <w:rsid w:val="5545335A"/>
    <w:rsid w:val="55CE6FB1"/>
    <w:rsid w:val="5CAE7E7D"/>
    <w:rsid w:val="5E49138D"/>
    <w:rsid w:val="5F2D2FA0"/>
    <w:rsid w:val="62CB2F58"/>
    <w:rsid w:val="6C114BD8"/>
    <w:rsid w:val="6CB97F3A"/>
    <w:rsid w:val="70FA340C"/>
    <w:rsid w:val="727060E4"/>
    <w:rsid w:val="768152CB"/>
    <w:rsid w:val="79744C8E"/>
    <w:rsid w:val="7AA035F0"/>
    <w:rsid w:val="7CE45748"/>
    <w:rsid w:val="7D381B9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index 5"/>
    <w:basedOn w:val="1"/>
    <w:next w:val="1"/>
    <w:qFormat/>
    <w:uiPriority w:val="0"/>
    <w:pPr>
      <w:spacing w:before="0" w:beforeAutospacing="0" w:after="0" w:afterAutospacing="0"/>
      <w:ind w:left="1680" w:right="0"/>
      <w:jc w:val="left"/>
    </w:pPr>
    <w:rPr>
      <w:rFonts w:hint="eastAsia" w:ascii="宋体" w:hAnsi="宋体" w:eastAsia="宋体" w:cs="宋体"/>
      <w:kern w:val="0"/>
      <w:sz w:val="24"/>
      <w:szCs w:val="24"/>
      <w:lang w:val="en-US" w:eastAsia="zh-CN" w:bidi="ar"/>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TML Definition"/>
    <w:basedOn w:val="4"/>
    <w:qFormat/>
    <w:uiPriority w:val="0"/>
  </w:style>
  <w:style w:type="character" w:styleId="7">
    <w:name w:val="HTML Variable"/>
    <w:basedOn w:val="4"/>
    <w:qFormat/>
    <w:uiPriority w:val="0"/>
  </w:style>
  <w:style w:type="character" w:styleId="8">
    <w:name w:val="Hyperlink"/>
    <w:basedOn w:val="4"/>
    <w:qFormat/>
    <w:uiPriority w:val="0"/>
    <w:rPr>
      <w:color w:val="0000FF"/>
      <w:u w:val="none"/>
    </w:rPr>
  </w:style>
  <w:style w:type="character" w:styleId="9">
    <w:name w:val="HTML Code"/>
    <w:basedOn w:val="4"/>
    <w:qFormat/>
    <w:uiPriority w:val="0"/>
    <w:rPr>
      <w:rFonts w:ascii="Courier New" w:hAnsi="Courier New"/>
      <w:sz w:val="20"/>
    </w:rPr>
  </w:style>
  <w:style w:type="character" w:styleId="10">
    <w:name w:val="HTML Cite"/>
    <w:basedOn w:val="4"/>
    <w:qFormat/>
    <w:uiPriority w:val="0"/>
  </w:style>
  <w:style w:type="character" w:customStyle="1" w:styleId="12">
    <w:name w:val="clicked1"/>
    <w:basedOn w:val="4"/>
    <w:qFormat/>
    <w:uiPriority w:val="0"/>
    <w:rPr>
      <w:color w:val="000000"/>
    </w:rPr>
  </w:style>
  <w:style w:type="character" w:customStyle="1" w:styleId="13">
    <w:name w:val="clicked2"/>
    <w:basedOn w:val="4"/>
    <w:qFormat/>
    <w:uiPriority w:val="0"/>
  </w:style>
  <w:style w:type="character" w:customStyle="1" w:styleId="14">
    <w:name w:val="clicked3"/>
    <w:basedOn w:val="4"/>
    <w:qFormat/>
    <w:uiPriority w:val="0"/>
  </w:style>
  <w:style w:type="character" w:customStyle="1" w:styleId="15">
    <w:name w:val="item-middle"/>
    <w:basedOn w:val="4"/>
    <w:qFormat/>
    <w:uiPriority w:val="0"/>
  </w:style>
  <w:style w:type="character" w:customStyle="1" w:styleId="16">
    <w:name w:val="ui-icon32"/>
    <w:basedOn w:val="4"/>
    <w:qFormat/>
    <w:uiPriority w:val="0"/>
  </w:style>
  <w:style w:type="character" w:customStyle="1" w:styleId="17">
    <w:name w:val="group"/>
    <w:basedOn w:val="4"/>
    <w:qFormat/>
    <w:uiPriority w:val="0"/>
  </w:style>
  <w:style w:type="character" w:customStyle="1" w:styleId="18">
    <w:name w:val="image"/>
    <w:basedOn w:val="4"/>
    <w:qFormat/>
    <w:uiPriority w:val="0"/>
  </w:style>
  <w:style w:type="character" w:customStyle="1" w:styleId="19">
    <w:name w:val="image1"/>
    <w:basedOn w:val="4"/>
    <w:qFormat/>
    <w:uiPriority w:val="0"/>
  </w:style>
  <w:style w:type="character" w:customStyle="1" w:styleId="20">
    <w:name w:val="image2"/>
    <w:basedOn w:val="4"/>
    <w:uiPriority w:val="0"/>
  </w:style>
  <w:style w:type="character" w:customStyle="1" w:styleId="21">
    <w:name w:val="button-hover"/>
    <w:basedOn w:val="4"/>
    <w:uiPriority w:val="0"/>
  </w:style>
  <w:style w:type="character" w:customStyle="1" w:styleId="22">
    <w:name w:val="button-hover1"/>
    <w:basedOn w:val="4"/>
    <w:qFormat/>
    <w:uiPriority w:val="0"/>
  </w:style>
  <w:style w:type="character" w:customStyle="1" w:styleId="23">
    <w:name w:val="ui-state-hover18"/>
    <w:basedOn w:val="4"/>
    <w:uiPriority w:val="0"/>
  </w:style>
  <w:style w:type="character" w:customStyle="1" w:styleId="24">
    <w:name w:val="ui-state-default12"/>
    <w:basedOn w:val="4"/>
    <w:uiPriority w:val="0"/>
  </w:style>
  <w:style w:type="character" w:customStyle="1" w:styleId="25">
    <w:name w:val="ui-state-default13"/>
    <w:basedOn w:val="4"/>
    <w:qFormat/>
    <w:uiPriority w:val="0"/>
  </w:style>
  <w:style w:type="character" w:customStyle="1" w:styleId="26">
    <w:name w:val="directchildrenspan"/>
    <w:basedOn w:val="4"/>
    <w:uiPriority w:val="0"/>
  </w:style>
  <w:style w:type="character" w:customStyle="1" w:styleId="27">
    <w:name w:val="ui-state-active6"/>
    <w:basedOn w:val="4"/>
    <w:uiPriority w:val="0"/>
  </w:style>
  <w:style w:type="character" w:customStyle="1" w:styleId="28">
    <w:name w:val="newstitle"/>
    <w:basedOn w:val="4"/>
    <w:qFormat/>
    <w:uiPriority w:val="0"/>
    <w:rPr>
      <w:b/>
      <w:color w:val="000000"/>
      <w:sz w:val="24"/>
      <w:szCs w:val="24"/>
    </w:rPr>
  </w:style>
  <w:style w:type="character" w:customStyle="1" w:styleId="29">
    <w:name w:val="imgspan"/>
    <w:basedOn w:val="4"/>
    <w:qFormat/>
    <w:uiPriority w:val="0"/>
  </w:style>
  <w:style w:type="paragraph" w:customStyle="1" w:styleId="30">
    <w:name w:val="普通(网站) Char"/>
    <w:basedOn w:val="1"/>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2023-10-15T06:22:00Z</dcterms:created>
  <dc:creator>asus</dc:creator>
  <cp:lastModifiedBy>Administrator</cp:lastModifiedBy>
  <dcterms:modified xsi:type="dcterms:W3CDTF">2024-03-05T11:53:44Z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BEDF86BF632346F2B6CDC03085DCE572_12</vt:lpwstr>
  </property>
</Properties>
</file>