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left"/>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p>
    <w:p>
      <w:pPr>
        <w:spacing w:after="240" w:afterLines="100"/>
        <w:jc w:val="center"/>
        <w:rPr>
          <w:rFonts w:eastAsia="方正小标宋_GBK"/>
          <w:sz w:val="44"/>
          <w:szCs w:val="44"/>
        </w:rPr>
      </w:pPr>
      <w:bookmarkStart w:id="0" w:name="_Hlk85087042"/>
    </w:p>
    <w:p>
      <w:pPr>
        <w:spacing w:after="240" w:afterLines="100"/>
        <w:jc w:val="center"/>
        <w:rPr>
          <w:rFonts w:eastAsia="方正小标宋_GBK"/>
          <w:sz w:val="44"/>
          <w:szCs w:val="44"/>
        </w:rPr>
      </w:pPr>
      <w:r>
        <w:rPr>
          <w:rFonts w:eastAsia="方正小标宋_GBK"/>
          <w:sz w:val="44"/>
          <w:szCs w:val="44"/>
        </w:rPr>
        <w:t>重庆市大足区工业和信息化“十四五”发展规划</w:t>
      </w:r>
    </w:p>
    <w:p>
      <w:pPr>
        <w:spacing w:after="240" w:afterLines="100"/>
        <w:jc w:val="center"/>
        <w:rPr>
          <w:rFonts w:eastAsia="方正小标宋_GBK"/>
          <w:sz w:val="44"/>
          <w:szCs w:val="44"/>
        </w:rPr>
      </w:pPr>
      <w:r>
        <w:rPr>
          <w:rFonts w:eastAsia="方正小标宋_GBK"/>
          <w:sz w:val="44"/>
          <w:szCs w:val="44"/>
        </w:rPr>
        <w:t>（2021—2025年）</w:t>
      </w:r>
    </w:p>
    <w:bookmarkEnd w:id="0"/>
    <w:p>
      <w:pPr>
        <w:spacing w:line="276" w:lineRule="auto"/>
        <w:jc w:val="center"/>
        <w:rPr>
          <w:rFonts w:eastAsia="方正小标宋_GBK"/>
          <w:sz w:val="40"/>
          <w:szCs w:val="44"/>
        </w:rPr>
      </w:pPr>
    </w:p>
    <w:p>
      <w:pPr>
        <w:spacing w:line="276" w:lineRule="auto"/>
        <w:jc w:val="center"/>
        <w:rPr>
          <w:rFonts w:eastAsia="方正小标宋_GBK"/>
          <w:sz w:val="40"/>
          <w:szCs w:val="44"/>
        </w:rPr>
      </w:pPr>
      <w:r>
        <w:rPr>
          <w:rFonts w:eastAsia="方正小标宋_GBK"/>
          <w:sz w:val="40"/>
          <w:szCs w:val="44"/>
        </w:rPr>
        <w:t>（</w:t>
      </w:r>
      <w:r>
        <w:rPr>
          <w:rFonts w:hint="eastAsia" w:eastAsia="方正小标宋_GBK"/>
          <w:sz w:val="40"/>
          <w:szCs w:val="44"/>
          <w:lang w:val="en-US" w:eastAsia="zh-CN"/>
        </w:rPr>
        <w:t>征求意见</w:t>
      </w:r>
      <w:r>
        <w:rPr>
          <w:rFonts w:eastAsia="方正小标宋_GBK"/>
          <w:sz w:val="40"/>
          <w:szCs w:val="44"/>
        </w:rPr>
        <w:t>稿）</w:t>
      </w:r>
    </w:p>
    <w:p>
      <w:pPr>
        <w:spacing w:line="594" w:lineRule="exact"/>
        <w:jc w:val="center"/>
        <w:rPr>
          <w:rFonts w:eastAsia="方正小标宋_GBK"/>
          <w:sz w:val="40"/>
          <w:szCs w:val="44"/>
        </w:rPr>
      </w:pPr>
    </w:p>
    <w:p>
      <w:pPr>
        <w:spacing w:line="594" w:lineRule="exact"/>
        <w:jc w:val="center"/>
        <w:rPr>
          <w:rFonts w:eastAsia="方正小标宋_GBK"/>
          <w:sz w:val="40"/>
          <w:szCs w:val="44"/>
        </w:rPr>
      </w:pPr>
    </w:p>
    <w:p>
      <w:pPr>
        <w:spacing w:line="594" w:lineRule="exact"/>
        <w:jc w:val="center"/>
        <w:rPr>
          <w:rFonts w:eastAsia="方正小标宋_GBK"/>
          <w:sz w:val="40"/>
          <w:szCs w:val="44"/>
        </w:rPr>
      </w:pPr>
    </w:p>
    <w:p>
      <w:pPr>
        <w:pStyle w:val="2"/>
      </w:pPr>
    </w:p>
    <w:p/>
    <w:p>
      <w:pPr>
        <w:spacing w:line="594" w:lineRule="exact"/>
        <w:jc w:val="center"/>
        <w:rPr>
          <w:rFonts w:eastAsia="方正小标宋_GBK"/>
          <w:sz w:val="40"/>
          <w:szCs w:val="44"/>
        </w:rPr>
      </w:pPr>
    </w:p>
    <w:p>
      <w:pPr>
        <w:spacing w:line="594" w:lineRule="exact"/>
        <w:jc w:val="center"/>
        <w:rPr>
          <w:rFonts w:eastAsia="方正小标宋_GBK"/>
          <w:sz w:val="40"/>
          <w:szCs w:val="44"/>
        </w:rPr>
      </w:pPr>
    </w:p>
    <w:p>
      <w:pPr>
        <w:spacing w:line="594" w:lineRule="exact"/>
        <w:jc w:val="center"/>
        <w:rPr>
          <w:rFonts w:eastAsia="方正小标宋_GBK"/>
          <w:sz w:val="40"/>
          <w:szCs w:val="44"/>
        </w:rPr>
      </w:pPr>
    </w:p>
    <w:p>
      <w:pPr>
        <w:spacing w:line="594" w:lineRule="exact"/>
        <w:jc w:val="center"/>
        <w:rPr>
          <w:rFonts w:eastAsia="方正小标宋_GBK"/>
          <w:sz w:val="40"/>
          <w:szCs w:val="44"/>
        </w:rPr>
      </w:pPr>
    </w:p>
    <w:p>
      <w:pPr>
        <w:spacing w:line="594" w:lineRule="exact"/>
        <w:jc w:val="center"/>
        <w:rPr>
          <w:rFonts w:eastAsia="方正小标宋_GBK"/>
          <w:sz w:val="40"/>
          <w:szCs w:val="44"/>
        </w:rPr>
      </w:pPr>
    </w:p>
    <w:p>
      <w:pPr>
        <w:spacing w:line="594" w:lineRule="exact"/>
        <w:jc w:val="center"/>
        <w:rPr>
          <w:rFonts w:eastAsia="方正小标宋_GBK"/>
          <w:sz w:val="40"/>
          <w:szCs w:val="44"/>
        </w:rPr>
      </w:pPr>
    </w:p>
    <w:p>
      <w:pPr>
        <w:spacing w:line="594" w:lineRule="exact"/>
        <w:jc w:val="center"/>
        <w:rPr>
          <w:rFonts w:eastAsia="方正小标宋_GBK"/>
          <w:sz w:val="40"/>
          <w:szCs w:val="44"/>
        </w:rPr>
      </w:pPr>
    </w:p>
    <w:p>
      <w:pPr>
        <w:pStyle w:val="2"/>
      </w:pPr>
    </w:p>
    <w:p>
      <w:pPr>
        <w:spacing w:line="594" w:lineRule="exact"/>
        <w:jc w:val="center"/>
        <w:rPr>
          <w:rFonts w:eastAsia="方正小标宋_GBK"/>
          <w:sz w:val="40"/>
          <w:szCs w:val="44"/>
        </w:rPr>
      </w:pPr>
    </w:p>
    <w:p>
      <w:pPr>
        <w:spacing w:line="594" w:lineRule="exact"/>
        <w:jc w:val="center"/>
        <w:rPr>
          <w:rFonts w:eastAsia="方正仿宋_GBK"/>
          <w:sz w:val="36"/>
          <w:szCs w:val="40"/>
        </w:rPr>
      </w:pPr>
      <w:r>
        <w:rPr>
          <w:rFonts w:eastAsia="方正仿宋_GBK"/>
          <w:sz w:val="36"/>
          <w:szCs w:val="40"/>
        </w:rPr>
        <w:t>重庆市大足区经济和信息化委员会</w:t>
      </w:r>
    </w:p>
    <w:p>
      <w:pPr>
        <w:spacing w:line="594" w:lineRule="exact"/>
        <w:jc w:val="center"/>
        <w:rPr>
          <w:rFonts w:eastAsia="方正仿宋_GBK"/>
          <w:sz w:val="36"/>
          <w:szCs w:val="40"/>
        </w:rPr>
      </w:pPr>
      <w:r>
        <w:rPr>
          <w:rFonts w:eastAsia="方正仿宋_GBK"/>
          <w:sz w:val="36"/>
          <w:szCs w:val="40"/>
        </w:rPr>
        <w:t>2022年</w:t>
      </w:r>
      <w:r>
        <w:rPr>
          <w:rFonts w:hint="eastAsia" w:eastAsia="方正仿宋_GBK"/>
          <w:sz w:val="36"/>
          <w:szCs w:val="40"/>
          <w:lang w:val="en-US" w:eastAsia="zh-CN"/>
        </w:rPr>
        <w:t>5</w:t>
      </w:r>
      <w:r>
        <w:rPr>
          <w:rFonts w:eastAsia="方正仿宋_GBK"/>
          <w:sz w:val="36"/>
          <w:szCs w:val="40"/>
        </w:rPr>
        <w:t>月</w:t>
      </w:r>
    </w:p>
    <w:p>
      <w:pPr>
        <w:tabs>
          <w:tab w:val="center" w:pos="4507"/>
          <w:tab w:val="right" w:pos="9014"/>
        </w:tabs>
        <w:spacing w:line="594" w:lineRule="exact"/>
        <w:jc w:val="left"/>
        <w:rPr>
          <w:rFonts w:eastAsia="方正仿宋_GBK"/>
          <w:kern w:val="0"/>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985" w:right="1446" w:bottom="1644" w:left="1446" w:header="851" w:footer="992" w:gutter="0"/>
          <w:pgNumType w:fmt="numberInDash"/>
          <w:cols w:space="720" w:num="1"/>
          <w:docGrid w:linePitch="312" w:charSpace="0"/>
        </w:sectPr>
      </w:pPr>
    </w:p>
    <w:p>
      <w:pPr>
        <w:pStyle w:val="13"/>
        <w:spacing w:before="0"/>
        <w:jc w:val="center"/>
        <w:rPr>
          <w:rFonts w:ascii="Times New Roman" w:hAnsi="Times New Roman" w:eastAsia="方正小标宋_GBK"/>
          <w:color w:val="auto"/>
          <w:sz w:val="36"/>
          <w:szCs w:val="36"/>
        </w:rPr>
      </w:pPr>
      <w:bookmarkStart w:id="1" w:name="_Toc87852598"/>
      <w:r>
        <w:rPr>
          <w:rFonts w:ascii="Times New Roman" w:hAnsi="Times New Roman" w:eastAsia="方正小标宋_GBK"/>
          <w:color w:val="auto"/>
          <w:sz w:val="36"/>
          <w:szCs w:val="36"/>
          <w:lang w:val="zh-CN"/>
        </w:rPr>
        <w:t>目  录</w:t>
      </w:r>
    </w:p>
    <w:p>
      <w:pPr>
        <w:pStyle w:val="6"/>
        <w:tabs>
          <w:tab w:val="right" w:leader="dot" w:pos="9004"/>
        </w:tabs>
        <w:spacing w:line="276" w:lineRule="auto"/>
        <w:rPr>
          <w:rFonts w:eastAsia="等线"/>
          <w:sz w:val="28"/>
          <w:szCs w:val="32"/>
        </w:rPr>
      </w:pPr>
      <w:r>
        <w:rPr>
          <w:sz w:val="500"/>
          <w:szCs w:val="520"/>
        </w:rPr>
        <w:fldChar w:fldCharType="begin"/>
      </w:r>
      <w:r>
        <w:rPr>
          <w:sz w:val="500"/>
          <w:szCs w:val="520"/>
        </w:rPr>
        <w:instrText xml:space="preserve"> TOC \o "1-2" \h \z \u </w:instrText>
      </w:r>
      <w:r>
        <w:rPr>
          <w:sz w:val="500"/>
          <w:szCs w:val="520"/>
        </w:rPr>
        <w:fldChar w:fldCharType="separate"/>
      </w:r>
      <w:r>
        <w:rPr>
          <w:sz w:val="28"/>
          <w:szCs w:val="32"/>
        </w:rPr>
        <w:fldChar w:fldCharType="begin"/>
      </w:r>
      <w:r>
        <w:rPr>
          <w:rStyle w:val="11"/>
          <w:sz w:val="28"/>
          <w:szCs w:val="32"/>
        </w:rPr>
        <w:instrText xml:space="preserve"> </w:instrText>
      </w:r>
      <w:r>
        <w:rPr>
          <w:sz w:val="28"/>
          <w:szCs w:val="32"/>
        </w:rPr>
        <w:instrText xml:space="preserve">HYPERLINK \l "_Toc106013338"</w:instrText>
      </w:r>
      <w:r>
        <w:rPr>
          <w:rStyle w:val="11"/>
          <w:sz w:val="28"/>
          <w:szCs w:val="32"/>
        </w:rPr>
        <w:instrText xml:space="preserve"> </w:instrText>
      </w:r>
      <w:r>
        <w:rPr>
          <w:sz w:val="28"/>
          <w:szCs w:val="32"/>
        </w:rPr>
        <w:fldChar w:fldCharType="separate"/>
      </w:r>
      <w:r>
        <w:rPr>
          <w:rStyle w:val="11"/>
          <w:rFonts w:eastAsia="方正黑体_GBK"/>
          <w:sz w:val="28"/>
          <w:szCs w:val="32"/>
        </w:rPr>
        <w:t>一、发展回顾与形势展望</w:t>
      </w:r>
      <w:r>
        <w:rPr>
          <w:sz w:val="28"/>
          <w:szCs w:val="32"/>
        </w:rPr>
        <w:tab/>
      </w:r>
      <w:r>
        <w:rPr>
          <w:sz w:val="28"/>
          <w:szCs w:val="32"/>
        </w:rPr>
        <w:fldChar w:fldCharType="begin"/>
      </w:r>
      <w:r>
        <w:rPr>
          <w:sz w:val="28"/>
          <w:szCs w:val="32"/>
        </w:rPr>
        <w:instrText xml:space="preserve"> PAGEREF _Toc106013338 \h </w:instrText>
      </w:r>
      <w:r>
        <w:rPr>
          <w:sz w:val="28"/>
          <w:szCs w:val="32"/>
        </w:rPr>
        <w:fldChar w:fldCharType="separate"/>
      </w:r>
      <w:r>
        <w:rPr>
          <w:sz w:val="28"/>
          <w:szCs w:val="32"/>
        </w:rPr>
        <w:t>- 1 -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"_Toc106013339"</w:instrText>
      </w:r>
      <w:r>
        <w:rPr>
          <w:rStyle w:val="11"/>
          <w:sz w:val="28"/>
          <w:szCs w:val="32"/>
        </w:rPr>
        <w:instrText xml:space="preserve"> </w:instrText>
      </w:r>
      <w:r>
        <w:rPr>
          <w:sz w:val="28"/>
          <w:szCs w:val="32"/>
        </w:rPr>
        <w:fldChar w:fldCharType="separate"/>
      </w:r>
      <w:r>
        <w:rPr>
          <w:rStyle w:val="11"/>
          <w:rFonts w:eastAsia="方正楷体_GBK"/>
          <w:sz w:val="28"/>
          <w:szCs w:val="32"/>
        </w:rPr>
        <w:t>（一）发展成效</w:t>
      </w:r>
      <w:r>
        <w:rPr>
          <w:sz w:val="28"/>
          <w:szCs w:val="32"/>
        </w:rPr>
        <w:tab/>
      </w:r>
      <w:r>
        <w:rPr>
          <w:sz w:val="28"/>
          <w:szCs w:val="32"/>
        </w:rPr>
        <w:fldChar w:fldCharType="begin"/>
      </w:r>
      <w:r>
        <w:rPr>
          <w:sz w:val="28"/>
          <w:szCs w:val="32"/>
        </w:rPr>
        <w:instrText xml:space="preserve"> PAGEREF _Toc106013339 \h </w:instrText>
      </w:r>
      <w:r>
        <w:rPr>
          <w:sz w:val="28"/>
          <w:szCs w:val="32"/>
        </w:rPr>
        <w:fldChar w:fldCharType="separate"/>
      </w:r>
      <w:r>
        <w:rPr>
          <w:sz w:val="28"/>
          <w:szCs w:val="32"/>
        </w:rPr>
        <w:t>- 1 -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"_Toc106013340"</w:instrText>
      </w:r>
      <w:r>
        <w:rPr>
          <w:rStyle w:val="11"/>
          <w:sz w:val="28"/>
          <w:szCs w:val="32"/>
        </w:rPr>
        <w:instrText xml:space="preserve"> </w:instrText>
      </w:r>
      <w:r>
        <w:rPr>
          <w:sz w:val="28"/>
          <w:szCs w:val="32"/>
        </w:rPr>
        <w:fldChar w:fldCharType="separate"/>
      </w:r>
      <w:r>
        <w:rPr>
          <w:rStyle w:val="11"/>
          <w:rFonts w:eastAsia="方正楷体_GBK"/>
          <w:sz w:val="28"/>
          <w:szCs w:val="32"/>
        </w:rPr>
        <w:t>（二）机遇挑战</w:t>
      </w:r>
      <w:r>
        <w:rPr>
          <w:sz w:val="28"/>
          <w:szCs w:val="32"/>
        </w:rPr>
        <w:tab/>
      </w:r>
      <w:r>
        <w:rPr>
          <w:sz w:val="28"/>
          <w:szCs w:val="32"/>
        </w:rPr>
        <w:fldChar w:fldCharType="begin"/>
      </w:r>
      <w:r>
        <w:rPr>
          <w:sz w:val="28"/>
          <w:szCs w:val="32"/>
        </w:rPr>
        <w:instrText xml:space="preserve"> PAGEREF _Toc106013340 \h </w:instrText>
      </w:r>
      <w:r>
        <w:rPr>
          <w:sz w:val="28"/>
          <w:szCs w:val="32"/>
        </w:rPr>
        <w:fldChar w:fldCharType="separate"/>
      </w:r>
      <w:r>
        <w:rPr>
          <w:sz w:val="28"/>
          <w:szCs w:val="32"/>
        </w:rPr>
        <w:t>- 5 -</w:t>
      </w:r>
      <w:r>
        <w:rPr>
          <w:sz w:val="28"/>
          <w:szCs w:val="32"/>
        </w:rPr>
        <w:fldChar w:fldCharType="end"/>
      </w:r>
      <w:r>
        <w:rPr>
          <w:sz w:val="28"/>
          <w:szCs w:val="32"/>
        </w:rPr>
        <w:fldChar w:fldCharType="end"/>
      </w:r>
    </w:p>
    <w:p>
      <w:pPr>
        <w:pStyle w:val="6"/>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"_Toc106013341"</w:instrText>
      </w:r>
      <w:r>
        <w:rPr>
          <w:rStyle w:val="11"/>
          <w:sz w:val="28"/>
          <w:szCs w:val="32"/>
        </w:rPr>
        <w:instrText xml:space="preserve"> </w:instrText>
      </w:r>
      <w:r>
        <w:rPr>
          <w:sz w:val="28"/>
          <w:szCs w:val="32"/>
        </w:rPr>
        <w:fldChar w:fldCharType="separate"/>
      </w:r>
      <w:r>
        <w:rPr>
          <w:rStyle w:val="11"/>
          <w:rFonts w:eastAsia="方正黑体_GBK"/>
          <w:sz w:val="28"/>
          <w:szCs w:val="32"/>
        </w:rPr>
        <w:t>二、总体要求</w:t>
      </w:r>
      <w:r>
        <w:rPr>
          <w:sz w:val="28"/>
          <w:szCs w:val="32"/>
        </w:rPr>
        <w:tab/>
      </w:r>
      <w:r>
        <w:rPr>
          <w:sz w:val="28"/>
          <w:szCs w:val="32"/>
        </w:rPr>
        <w:fldChar w:fldCharType="begin"/>
      </w:r>
      <w:r>
        <w:rPr>
          <w:sz w:val="28"/>
          <w:szCs w:val="32"/>
        </w:rPr>
        <w:instrText xml:space="preserve"> PAGEREF _Toc106013341 \h </w:instrText>
      </w:r>
      <w:r>
        <w:rPr>
          <w:sz w:val="28"/>
          <w:szCs w:val="32"/>
        </w:rPr>
        <w:fldChar w:fldCharType="separate"/>
      </w:r>
      <w:r>
        <w:rPr>
          <w:sz w:val="28"/>
          <w:szCs w:val="32"/>
        </w:rPr>
        <w:t>- 9 -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"_Toc106013342"</w:instrText>
      </w:r>
      <w:r>
        <w:rPr>
          <w:rStyle w:val="11"/>
          <w:sz w:val="28"/>
          <w:szCs w:val="32"/>
        </w:rPr>
        <w:instrText xml:space="preserve"> </w:instrText>
      </w:r>
      <w:r>
        <w:rPr>
          <w:sz w:val="28"/>
          <w:szCs w:val="32"/>
        </w:rPr>
        <w:fldChar w:fldCharType="separate"/>
      </w:r>
      <w:r>
        <w:rPr>
          <w:rStyle w:val="11"/>
          <w:rFonts w:eastAsia="方正楷体_GBK"/>
          <w:sz w:val="28"/>
          <w:szCs w:val="32"/>
        </w:rPr>
        <w:t>（一）指导思想</w:t>
      </w:r>
      <w:r>
        <w:rPr>
          <w:sz w:val="28"/>
          <w:szCs w:val="32"/>
        </w:rPr>
        <w:tab/>
      </w:r>
      <w:r>
        <w:rPr>
          <w:sz w:val="28"/>
          <w:szCs w:val="32"/>
        </w:rPr>
        <w:fldChar w:fldCharType="begin"/>
      </w:r>
      <w:r>
        <w:rPr>
          <w:sz w:val="28"/>
          <w:szCs w:val="32"/>
        </w:rPr>
        <w:instrText xml:space="preserve"> PAGEREF _Toc106013342 \h </w:instrText>
      </w:r>
      <w:r>
        <w:rPr>
          <w:sz w:val="28"/>
          <w:szCs w:val="32"/>
        </w:rPr>
        <w:fldChar w:fldCharType="separate"/>
      </w:r>
      <w:r>
        <w:rPr>
          <w:sz w:val="28"/>
          <w:szCs w:val="32"/>
        </w:rPr>
        <w:t>- 9 -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"_Toc106013343"</w:instrText>
      </w:r>
      <w:r>
        <w:rPr>
          <w:rStyle w:val="11"/>
          <w:sz w:val="28"/>
          <w:szCs w:val="32"/>
        </w:rPr>
        <w:instrText xml:space="preserve"> </w:instrText>
      </w:r>
      <w:r>
        <w:rPr>
          <w:sz w:val="28"/>
          <w:szCs w:val="32"/>
        </w:rPr>
        <w:fldChar w:fldCharType="separate"/>
      </w:r>
      <w:r>
        <w:rPr>
          <w:rStyle w:val="11"/>
          <w:rFonts w:eastAsia="方正楷体_GBK"/>
          <w:sz w:val="28"/>
          <w:szCs w:val="32"/>
        </w:rPr>
        <w:t>（二）基本原则</w:t>
      </w:r>
      <w:r>
        <w:rPr>
          <w:sz w:val="28"/>
          <w:szCs w:val="32"/>
        </w:rPr>
        <w:tab/>
      </w:r>
      <w:r>
        <w:rPr>
          <w:sz w:val="28"/>
          <w:szCs w:val="32"/>
        </w:rPr>
        <w:fldChar w:fldCharType="begin"/>
      </w:r>
      <w:r>
        <w:rPr>
          <w:sz w:val="28"/>
          <w:szCs w:val="32"/>
        </w:rPr>
        <w:instrText xml:space="preserve"> PAGEREF _Toc106013343 \h </w:instrText>
      </w:r>
      <w:r>
        <w:rPr>
          <w:sz w:val="28"/>
          <w:szCs w:val="32"/>
        </w:rPr>
        <w:fldChar w:fldCharType="separate"/>
      </w:r>
      <w:r>
        <w:rPr>
          <w:sz w:val="28"/>
          <w:szCs w:val="32"/>
        </w:rPr>
        <w:t>- 10 -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"_Toc106013344"</w:instrText>
      </w:r>
      <w:r>
        <w:rPr>
          <w:rStyle w:val="11"/>
          <w:sz w:val="28"/>
          <w:szCs w:val="32"/>
        </w:rPr>
        <w:instrText xml:space="preserve"> </w:instrText>
      </w:r>
      <w:r>
        <w:rPr>
          <w:sz w:val="28"/>
          <w:szCs w:val="32"/>
        </w:rPr>
        <w:fldChar w:fldCharType="separate"/>
      </w:r>
      <w:r>
        <w:rPr>
          <w:rStyle w:val="11"/>
          <w:rFonts w:eastAsia="方正楷体_GBK"/>
          <w:sz w:val="28"/>
          <w:szCs w:val="32"/>
        </w:rPr>
        <w:t>（三）发展目标</w:t>
      </w:r>
      <w:r>
        <w:rPr>
          <w:sz w:val="28"/>
          <w:szCs w:val="32"/>
        </w:rPr>
        <w:tab/>
      </w:r>
      <w:r>
        <w:rPr>
          <w:sz w:val="28"/>
          <w:szCs w:val="32"/>
        </w:rPr>
        <w:fldChar w:fldCharType="begin"/>
      </w:r>
      <w:r>
        <w:rPr>
          <w:sz w:val="28"/>
          <w:szCs w:val="32"/>
        </w:rPr>
        <w:instrText xml:space="preserve"> PAGEREF _Toc106013344 \h </w:instrText>
      </w:r>
      <w:r>
        <w:rPr>
          <w:sz w:val="28"/>
          <w:szCs w:val="32"/>
        </w:rPr>
        <w:fldChar w:fldCharType="separate"/>
      </w:r>
      <w:r>
        <w:rPr>
          <w:sz w:val="28"/>
          <w:szCs w:val="32"/>
        </w:rPr>
        <w:t>- 11 -</w:t>
      </w:r>
      <w:r>
        <w:rPr>
          <w:sz w:val="28"/>
          <w:szCs w:val="32"/>
        </w:rPr>
        <w:fldChar w:fldCharType="end"/>
      </w:r>
      <w:r>
        <w:rPr>
          <w:sz w:val="28"/>
          <w:szCs w:val="32"/>
        </w:rPr>
        <w:fldChar w:fldCharType="end"/>
      </w:r>
    </w:p>
    <w:p>
      <w:pPr>
        <w:pStyle w:val="6"/>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"_Toc106013345"</w:instrText>
      </w:r>
      <w:r>
        <w:rPr>
          <w:rStyle w:val="11"/>
          <w:sz w:val="28"/>
          <w:szCs w:val="32"/>
        </w:rPr>
        <w:instrText xml:space="preserve"> </w:instrText>
      </w:r>
      <w:r>
        <w:rPr>
          <w:sz w:val="28"/>
          <w:szCs w:val="32"/>
        </w:rPr>
        <w:fldChar w:fldCharType="separate"/>
      </w:r>
      <w:r>
        <w:rPr>
          <w:rStyle w:val="11"/>
          <w:rFonts w:eastAsia="方正黑体_GBK"/>
          <w:sz w:val="28"/>
          <w:szCs w:val="32"/>
        </w:rPr>
        <w:t>三、优化产业空间布局</w:t>
      </w:r>
      <w:r>
        <w:rPr>
          <w:sz w:val="28"/>
          <w:szCs w:val="32"/>
        </w:rPr>
        <w:tab/>
      </w:r>
      <w:r>
        <w:rPr>
          <w:sz w:val="28"/>
          <w:szCs w:val="32"/>
        </w:rPr>
        <w:fldChar w:fldCharType="begin"/>
      </w:r>
      <w:r>
        <w:rPr>
          <w:sz w:val="28"/>
          <w:szCs w:val="32"/>
        </w:rPr>
        <w:instrText xml:space="preserve"> PAGEREF _Toc106013345 \h </w:instrText>
      </w:r>
      <w:r>
        <w:rPr>
          <w:sz w:val="28"/>
          <w:szCs w:val="32"/>
        </w:rPr>
        <w:fldChar w:fldCharType="separate"/>
      </w:r>
      <w:r>
        <w:rPr>
          <w:sz w:val="28"/>
          <w:szCs w:val="32"/>
        </w:rPr>
        <w:t>- 15 -</w:t>
      </w:r>
      <w:r>
        <w:rPr>
          <w:sz w:val="28"/>
          <w:szCs w:val="32"/>
        </w:rPr>
        <w:fldChar w:fldCharType="end"/>
      </w:r>
      <w:r>
        <w:rPr>
          <w:sz w:val="28"/>
          <w:szCs w:val="32"/>
        </w:rPr>
        <w:fldChar w:fldCharType="end"/>
      </w:r>
    </w:p>
    <w:p>
      <w:pPr>
        <w:pStyle w:val="6"/>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"_Toc106013346"</w:instrText>
      </w:r>
      <w:r>
        <w:rPr>
          <w:rStyle w:val="11"/>
          <w:sz w:val="28"/>
          <w:szCs w:val="32"/>
        </w:rPr>
        <w:instrText xml:space="preserve"> </w:instrText>
      </w:r>
      <w:r>
        <w:rPr>
          <w:sz w:val="28"/>
          <w:szCs w:val="32"/>
        </w:rPr>
        <w:fldChar w:fldCharType="separate"/>
      </w:r>
      <w:r>
        <w:rPr>
          <w:rStyle w:val="11"/>
          <w:rFonts w:eastAsia="方正黑体_GBK"/>
          <w:sz w:val="28"/>
          <w:szCs w:val="32"/>
        </w:rPr>
        <w:t>四、构建现代工业体系</w:t>
      </w:r>
      <w:r>
        <w:rPr>
          <w:sz w:val="28"/>
          <w:szCs w:val="32"/>
        </w:rPr>
        <w:tab/>
      </w:r>
      <w:r>
        <w:rPr>
          <w:sz w:val="28"/>
          <w:szCs w:val="32"/>
        </w:rPr>
        <w:fldChar w:fldCharType="begin"/>
      </w:r>
      <w:r>
        <w:rPr>
          <w:sz w:val="28"/>
          <w:szCs w:val="32"/>
        </w:rPr>
        <w:instrText xml:space="preserve"> PAGEREF _Toc106013346 \h </w:instrText>
      </w:r>
      <w:r>
        <w:rPr>
          <w:sz w:val="28"/>
          <w:szCs w:val="32"/>
        </w:rPr>
        <w:fldChar w:fldCharType="separate"/>
      </w:r>
      <w:r>
        <w:rPr>
          <w:sz w:val="28"/>
          <w:szCs w:val="32"/>
        </w:rPr>
        <w:t>- 17 -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"_Toc106013347"</w:instrText>
      </w:r>
      <w:r>
        <w:rPr>
          <w:rStyle w:val="11"/>
          <w:sz w:val="28"/>
          <w:szCs w:val="32"/>
        </w:rPr>
        <w:instrText xml:space="preserve"> </w:instrText>
      </w:r>
      <w:r>
        <w:rPr>
          <w:sz w:val="28"/>
          <w:szCs w:val="32"/>
        </w:rPr>
        <w:fldChar w:fldCharType="separate"/>
      </w:r>
      <w:r>
        <w:rPr>
          <w:rStyle w:val="11"/>
          <w:rFonts w:eastAsia="方正楷体_GBK"/>
          <w:sz w:val="28"/>
          <w:szCs w:val="32"/>
        </w:rPr>
        <w:t>（一）培育壮大六大特色产业集群</w:t>
      </w:r>
      <w:r>
        <w:rPr>
          <w:sz w:val="28"/>
          <w:szCs w:val="32"/>
        </w:rPr>
        <w:tab/>
      </w:r>
      <w:r>
        <w:rPr>
          <w:sz w:val="28"/>
          <w:szCs w:val="32"/>
        </w:rPr>
        <w:fldChar w:fldCharType="begin"/>
      </w:r>
      <w:r>
        <w:rPr>
          <w:sz w:val="28"/>
          <w:szCs w:val="32"/>
        </w:rPr>
        <w:instrText xml:space="preserve"> PAGEREF _Toc106013347 \h </w:instrText>
      </w:r>
      <w:r>
        <w:rPr>
          <w:sz w:val="28"/>
          <w:szCs w:val="32"/>
        </w:rPr>
        <w:fldChar w:fldCharType="separate"/>
      </w:r>
      <w:r>
        <w:rPr>
          <w:sz w:val="28"/>
          <w:szCs w:val="32"/>
        </w:rPr>
        <w:t>- 17 -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"_Toc106013348"</w:instrText>
      </w:r>
      <w:r>
        <w:rPr>
          <w:rStyle w:val="11"/>
          <w:sz w:val="28"/>
          <w:szCs w:val="32"/>
        </w:rPr>
        <w:instrText xml:space="preserve"> </w:instrText>
      </w:r>
      <w:r>
        <w:rPr>
          <w:sz w:val="28"/>
          <w:szCs w:val="32"/>
        </w:rPr>
        <w:fldChar w:fldCharType="separate"/>
      </w:r>
      <w:r>
        <w:rPr>
          <w:rStyle w:val="11"/>
          <w:rFonts w:eastAsia="方正楷体_GBK"/>
          <w:sz w:val="28"/>
          <w:szCs w:val="32"/>
        </w:rPr>
        <w:t>（二）全力培育新兴产业集群</w:t>
      </w:r>
      <w:r>
        <w:rPr>
          <w:sz w:val="28"/>
          <w:szCs w:val="32"/>
        </w:rPr>
        <w:tab/>
      </w:r>
      <w:r>
        <w:rPr>
          <w:sz w:val="28"/>
          <w:szCs w:val="32"/>
        </w:rPr>
        <w:fldChar w:fldCharType="begin"/>
      </w:r>
      <w:r>
        <w:rPr>
          <w:sz w:val="28"/>
          <w:szCs w:val="32"/>
        </w:rPr>
        <w:instrText xml:space="preserve"> PAGEREF _Toc106013348 \h </w:instrText>
      </w:r>
      <w:r>
        <w:rPr>
          <w:sz w:val="28"/>
          <w:szCs w:val="32"/>
        </w:rPr>
        <w:fldChar w:fldCharType="separate"/>
      </w:r>
      <w:r>
        <w:rPr>
          <w:sz w:val="28"/>
          <w:szCs w:val="32"/>
        </w:rPr>
        <w:t>- 39 -</w:t>
      </w:r>
      <w:r>
        <w:rPr>
          <w:sz w:val="28"/>
          <w:szCs w:val="32"/>
        </w:rPr>
        <w:fldChar w:fldCharType="end"/>
      </w:r>
      <w:r>
        <w:rPr>
          <w:sz w:val="28"/>
          <w:szCs w:val="32"/>
        </w:rPr>
        <w:fldChar w:fldCharType="end"/>
      </w:r>
    </w:p>
    <w:p>
      <w:pPr>
        <w:pStyle w:val="6"/>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"_Toc106013349"</w:instrText>
      </w:r>
      <w:r>
        <w:rPr>
          <w:rStyle w:val="11"/>
          <w:sz w:val="28"/>
          <w:szCs w:val="32"/>
        </w:rPr>
        <w:instrText xml:space="preserve"> </w:instrText>
      </w:r>
      <w:r>
        <w:rPr>
          <w:sz w:val="28"/>
          <w:szCs w:val="32"/>
        </w:rPr>
        <w:fldChar w:fldCharType="separate"/>
      </w:r>
      <w:r>
        <w:rPr>
          <w:rStyle w:val="11"/>
          <w:rFonts w:eastAsia="方正黑体_GBK"/>
          <w:sz w:val="28"/>
          <w:szCs w:val="32"/>
        </w:rPr>
        <w:t>五、实施八大重点工程</w:t>
      </w:r>
      <w:r>
        <w:rPr>
          <w:sz w:val="28"/>
          <w:szCs w:val="32"/>
        </w:rPr>
        <w:tab/>
      </w:r>
      <w:r>
        <w:rPr>
          <w:sz w:val="28"/>
          <w:szCs w:val="32"/>
        </w:rPr>
        <w:fldChar w:fldCharType="begin"/>
      </w:r>
      <w:r>
        <w:rPr>
          <w:sz w:val="28"/>
          <w:szCs w:val="32"/>
        </w:rPr>
        <w:instrText xml:space="preserve"> PAGEREF _Toc106013349 \h </w:instrText>
      </w:r>
      <w:r>
        <w:rPr>
          <w:sz w:val="28"/>
          <w:szCs w:val="32"/>
        </w:rPr>
        <w:fldChar w:fldCharType="separate"/>
      </w:r>
      <w:r>
        <w:rPr>
          <w:sz w:val="28"/>
          <w:szCs w:val="32"/>
        </w:rPr>
        <w:t>- 43 -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"_Toc106013350"</w:instrText>
      </w:r>
      <w:r>
        <w:rPr>
          <w:rStyle w:val="11"/>
          <w:sz w:val="28"/>
          <w:szCs w:val="32"/>
        </w:rPr>
        <w:instrText xml:space="preserve"> </w:instrText>
      </w:r>
      <w:r>
        <w:rPr>
          <w:sz w:val="28"/>
          <w:szCs w:val="32"/>
        </w:rPr>
        <w:fldChar w:fldCharType="separate"/>
      </w:r>
      <w:r>
        <w:rPr>
          <w:rStyle w:val="11"/>
          <w:rFonts w:eastAsia="方正楷体_GBK"/>
          <w:sz w:val="28"/>
          <w:szCs w:val="32"/>
        </w:rPr>
        <w:t>（一）实施科技创新引领工程</w:t>
      </w:r>
      <w:r>
        <w:rPr>
          <w:sz w:val="28"/>
          <w:szCs w:val="32"/>
        </w:rPr>
        <w:tab/>
      </w:r>
      <w:r>
        <w:rPr>
          <w:sz w:val="28"/>
          <w:szCs w:val="32"/>
        </w:rPr>
        <w:fldChar w:fldCharType="begin"/>
      </w:r>
      <w:r>
        <w:rPr>
          <w:sz w:val="28"/>
          <w:szCs w:val="32"/>
        </w:rPr>
        <w:instrText xml:space="preserve"> PAGEREF _Toc106013350 \h </w:instrText>
      </w:r>
      <w:r>
        <w:rPr>
          <w:sz w:val="28"/>
          <w:szCs w:val="32"/>
        </w:rPr>
        <w:fldChar w:fldCharType="separate"/>
      </w:r>
      <w:r>
        <w:rPr>
          <w:sz w:val="28"/>
          <w:szCs w:val="32"/>
        </w:rPr>
        <w:t>- 43 -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"_Toc106013351"</w:instrText>
      </w:r>
      <w:r>
        <w:rPr>
          <w:rStyle w:val="11"/>
          <w:sz w:val="28"/>
          <w:szCs w:val="32"/>
        </w:rPr>
        <w:instrText xml:space="preserve"> </w:instrText>
      </w:r>
      <w:r>
        <w:rPr>
          <w:sz w:val="28"/>
          <w:szCs w:val="32"/>
        </w:rPr>
        <w:fldChar w:fldCharType="separate"/>
      </w:r>
      <w:r>
        <w:rPr>
          <w:rStyle w:val="11"/>
          <w:rFonts w:eastAsia="方正楷体_GBK"/>
          <w:sz w:val="28"/>
          <w:szCs w:val="32"/>
        </w:rPr>
        <w:t>（二）实施市场主体倍增工程</w:t>
      </w:r>
      <w:r>
        <w:rPr>
          <w:sz w:val="28"/>
          <w:szCs w:val="32"/>
        </w:rPr>
        <w:tab/>
      </w:r>
      <w:r>
        <w:rPr>
          <w:sz w:val="28"/>
          <w:szCs w:val="32"/>
        </w:rPr>
        <w:fldChar w:fldCharType="begin"/>
      </w:r>
      <w:r>
        <w:rPr>
          <w:sz w:val="28"/>
          <w:szCs w:val="32"/>
        </w:rPr>
        <w:instrText xml:space="preserve"> PAGEREF _Toc106013351 \h </w:instrText>
      </w:r>
      <w:r>
        <w:rPr>
          <w:sz w:val="28"/>
          <w:szCs w:val="32"/>
        </w:rPr>
        <w:fldChar w:fldCharType="separate"/>
      </w:r>
      <w:r>
        <w:rPr>
          <w:sz w:val="28"/>
          <w:szCs w:val="32"/>
        </w:rPr>
        <w:t>- 47 -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"_Toc106013352"</w:instrText>
      </w:r>
      <w:r>
        <w:rPr>
          <w:rStyle w:val="11"/>
          <w:sz w:val="28"/>
          <w:szCs w:val="32"/>
        </w:rPr>
        <w:instrText xml:space="preserve"> </w:instrText>
      </w:r>
      <w:r>
        <w:rPr>
          <w:sz w:val="28"/>
          <w:szCs w:val="32"/>
        </w:rPr>
        <w:fldChar w:fldCharType="separate"/>
      </w:r>
      <w:r>
        <w:rPr>
          <w:rStyle w:val="11"/>
          <w:rFonts w:eastAsia="方正楷体_GBK"/>
          <w:sz w:val="28"/>
          <w:szCs w:val="32"/>
        </w:rPr>
        <w:t>（三）实施质量品牌建设工程</w:t>
      </w:r>
      <w:r>
        <w:rPr>
          <w:sz w:val="28"/>
          <w:szCs w:val="32"/>
        </w:rPr>
        <w:tab/>
      </w:r>
      <w:r>
        <w:rPr>
          <w:sz w:val="28"/>
          <w:szCs w:val="32"/>
        </w:rPr>
        <w:fldChar w:fldCharType="begin"/>
      </w:r>
      <w:r>
        <w:rPr>
          <w:sz w:val="28"/>
          <w:szCs w:val="32"/>
        </w:rPr>
        <w:instrText xml:space="preserve"> PAGEREF _Toc106013352 \h </w:instrText>
      </w:r>
      <w:r>
        <w:rPr>
          <w:sz w:val="28"/>
          <w:szCs w:val="32"/>
        </w:rPr>
        <w:fldChar w:fldCharType="separate"/>
      </w:r>
      <w:r>
        <w:rPr>
          <w:sz w:val="28"/>
          <w:szCs w:val="32"/>
        </w:rPr>
        <w:t>- 49 -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"_Toc106013353"</w:instrText>
      </w:r>
      <w:r>
        <w:rPr>
          <w:rStyle w:val="11"/>
          <w:sz w:val="28"/>
          <w:szCs w:val="32"/>
        </w:rPr>
        <w:instrText xml:space="preserve"> </w:instrText>
      </w:r>
      <w:r>
        <w:rPr>
          <w:sz w:val="28"/>
          <w:szCs w:val="32"/>
        </w:rPr>
        <w:fldChar w:fldCharType="separate"/>
      </w:r>
      <w:r>
        <w:rPr>
          <w:rStyle w:val="11"/>
          <w:rFonts w:eastAsia="方正楷体_GBK"/>
          <w:sz w:val="28"/>
          <w:szCs w:val="32"/>
        </w:rPr>
        <w:t>（四）实施产业深度融合工程</w:t>
      </w:r>
      <w:r>
        <w:rPr>
          <w:sz w:val="28"/>
          <w:szCs w:val="32"/>
        </w:rPr>
        <w:tab/>
      </w:r>
      <w:r>
        <w:rPr>
          <w:sz w:val="28"/>
          <w:szCs w:val="32"/>
        </w:rPr>
        <w:fldChar w:fldCharType="begin"/>
      </w:r>
      <w:r>
        <w:rPr>
          <w:sz w:val="28"/>
          <w:szCs w:val="32"/>
        </w:rPr>
        <w:instrText xml:space="preserve"> PAGEREF _Toc106013353 \h </w:instrText>
      </w:r>
      <w:r>
        <w:rPr>
          <w:sz w:val="28"/>
          <w:szCs w:val="32"/>
        </w:rPr>
        <w:fldChar w:fldCharType="separate"/>
      </w:r>
      <w:r>
        <w:rPr>
          <w:sz w:val="28"/>
          <w:szCs w:val="32"/>
        </w:rPr>
        <w:t>- 51 -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"_Toc106013354"</w:instrText>
      </w:r>
      <w:r>
        <w:rPr>
          <w:rStyle w:val="11"/>
          <w:sz w:val="28"/>
          <w:szCs w:val="32"/>
        </w:rPr>
        <w:instrText xml:space="preserve"> </w:instrText>
      </w:r>
      <w:r>
        <w:rPr>
          <w:sz w:val="28"/>
          <w:szCs w:val="32"/>
        </w:rPr>
        <w:fldChar w:fldCharType="separate"/>
      </w:r>
      <w:r>
        <w:rPr>
          <w:rStyle w:val="11"/>
          <w:rFonts w:eastAsia="方正楷体_GBK"/>
          <w:sz w:val="28"/>
          <w:szCs w:val="32"/>
        </w:rPr>
        <w:t>（五）实施工业绿色转型工程</w:t>
      </w:r>
      <w:r>
        <w:rPr>
          <w:sz w:val="28"/>
          <w:szCs w:val="32"/>
        </w:rPr>
        <w:tab/>
      </w:r>
      <w:r>
        <w:rPr>
          <w:sz w:val="28"/>
          <w:szCs w:val="32"/>
        </w:rPr>
        <w:fldChar w:fldCharType="begin"/>
      </w:r>
      <w:r>
        <w:rPr>
          <w:sz w:val="28"/>
          <w:szCs w:val="32"/>
        </w:rPr>
        <w:instrText xml:space="preserve"> PAGEREF _Toc106013354 \h </w:instrText>
      </w:r>
      <w:r>
        <w:rPr>
          <w:sz w:val="28"/>
          <w:szCs w:val="32"/>
        </w:rPr>
        <w:fldChar w:fldCharType="separate"/>
      </w:r>
      <w:r>
        <w:rPr>
          <w:sz w:val="28"/>
          <w:szCs w:val="32"/>
        </w:rPr>
        <w:t>- 54 -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"_Toc106013355"</w:instrText>
      </w:r>
      <w:r>
        <w:rPr>
          <w:rStyle w:val="11"/>
          <w:sz w:val="28"/>
          <w:szCs w:val="32"/>
        </w:rPr>
        <w:instrText xml:space="preserve"> </w:instrText>
      </w:r>
      <w:r>
        <w:rPr>
          <w:sz w:val="28"/>
          <w:szCs w:val="32"/>
        </w:rPr>
        <w:fldChar w:fldCharType="separate"/>
      </w:r>
      <w:r>
        <w:rPr>
          <w:rStyle w:val="11"/>
          <w:rFonts w:eastAsia="方正楷体_GBK"/>
          <w:sz w:val="28"/>
          <w:szCs w:val="32"/>
        </w:rPr>
        <w:t>（六）实施大数据智能化工程</w:t>
      </w:r>
      <w:r>
        <w:rPr>
          <w:sz w:val="28"/>
          <w:szCs w:val="32"/>
        </w:rPr>
        <w:tab/>
      </w:r>
      <w:r>
        <w:rPr>
          <w:sz w:val="28"/>
          <w:szCs w:val="32"/>
        </w:rPr>
        <w:fldChar w:fldCharType="begin"/>
      </w:r>
      <w:r>
        <w:rPr>
          <w:sz w:val="28"/>
          <w:szCs w:val="32"/>
        </w:rPr>
        <w:instrText xml:space="preserve"> PAGEREF _Toc106013355 \h </w:instrText>
      </w:r>
      <w:r>
        <w:rPr>
          <w:sz w:val="28"/>
          <w:szCs w:val="32"/>
        </w:rPr>
        <w:fldChar w:fldCharType="separate"/>
      </w:r>
      <w:r>
        <w:rPr>
          <w:sz w:val="28"/>
          <w:szCs w:val="32"/>
        </w:rPr>
        <w:t>- 56 -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"_Toc106013356"</w:instrText>
      </w:r>
      <w:r>
        <w:rPr>
          <w:rStyle w:val="11"/>
          <w:sz w:val="28"/>
          <w:szCs w:val="32"/>
        </w:rPr>
        <w:instrText xml:space="preserve"> </w:instrText>
      </w:r>
      <w:r>
        <w:rPr>
          <w:sz w:val="28"/>
          <w:szCs w:val="32"/>
        </w:rPr>
        <w:fldChar w:fldCharType="separate"/>
      </w:r>
      <w:r>
        <w:rPr>
          <w:rStyle w:val="11"/>
          <w:rFonts w:eastAsia="方正楷体_GBK"/>
          <w:sz w:val="28"/>
          <w:szCs w:val="32"/>
        </w:rPr>
        <w:t>（七）实施产业人才培育工程</w:t>
      </w:r>
      <w:r>
        <w:rPr>
          <w:sz w:val="28"/>
          <w:szCs w:val="32"/>
        </w:rPr>
        <w:tab/>
      </w:r>
      <w:r>
        <w:rPr>
          <w:sz w:val="28"/>
          <w:szCs w:val="32"/>
        </w:rPr>
        <w:fldChar w:fldCharType="begin"/>
      </w:r>
      <w:r>
        <w:rPr>
          <w:sz w:val="28"/>
          <w:szCs w:val="32"/>
        </w:rPr>
        <w:instrText xml:space="preserve"> PAGEREF _Toc106013356 \h </w:instrText>
      </w:r>
      <w:r>
        <w:rPr>
          <w:sz w:val="28"/>
          <w:szCs w:val="32"/>
        </w:rPr>
        <w:fldChar w:fldCharType="separate"/>
      </w:r>
      <w:r>
        <w:rPr>
          <w:sz w:val="28"/>
          <w:szCs w:val="32"/>
        </w:rPr>
        <w:t>- 60 -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"_Toc106013357"</w:instrText>
      </w:r>
      <w:r>
        <w:rPr>
          <w:rStyle w:val="11"/>
          <w:sz w:val="28"/>
          <w:szCs w:val="32"/>
        </w:rPr>
        <w:instrText xml:space="preserve"> </w:instrText>
      </w:r>
      <w:r>
        <w:rPr>
          <w:sz w:val="28"/>
          <w:szCs w:val="32"/>
        </w:rPr>
        <w:fldChar w:fldCharType="separate"/>
      </w:r>
      <w:r>
        <w:rPr>
          <w:rStyle w:val="11"/>
          <w:rFonts w:eastAsia="方正楷体_GBK"/>
          <w:sz w:val="28"/>
          <w:szCs w:val="32"/>
        </w:rPr>
        <w:t>（八）实施区域协同发展工程</w:t>
      </w:r>
      <w:r>
        <w:rPr>
          <w:sz w:val="28"/>
          <w:szCs w:val="32"/>
        </w:rPr>
        <w:tab/>
      </w:r>
      <w:r>
        <w:rPr>
          <w:sz w:val="28"/>
          <w:szCs w:val="32"/>
        </w:rPr>
        <w:fldChar w:fldCharType="begin"/>
      </w:r>
      <w:r>
        <w:rPr>
          <w:sz w:val="28"/>
          <w:szCs w:val="32"/>
        </w:rPr>
        <w:instrText xml:space="preserve"> PAGEREF _Toc106013357 \h </w:instrText>
      </w:r>
      <w:r>
        <w:rPr>
          <w:sz w:val="28"/>
          <w:szCs w:val="32"/>
        </w:rPr>
        <w:fldChar w:fldCharType="separate"/>
      </w:r>
      <w:r>
        <w:rPr>
          <w:sz w:val="28"/>
          <w:szCs w:val="32"/>
        </w:rPr>
        <w:t>- 61 -</w:t>
      </w:r>
      <w:r>
        <w:rPr>
          <w:sz w:val="28"/>
          <w:szCs w:val="32"/>
        </w:rPr>
        <w:fldChar w:fldCharType="end"/>
      </w:r>
      <w:r>
        <w:rPr>
          <w:sz w:val="28"/>
          <w:szCs w:val="32"/>
        </w:rPr>
        <w:fldChar w:fldCharType="end"/>
      </w:r>
    </w:p>
    <w:p>
      <w:pPr>
        <w:pStyle w:val="6"/>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"_Toc106013358"</w:instrText>
      </w:r>
      <w:r>
        <w:rPr>
          <w:rStyle w:val="11"/>
          <w:sz w:val="28"/>
          <w:szCs w:val="32"/>
        </w:rPr>
        <w:instrText xml:space="preserve"> </w:instrText>
      </w:r>
      <w:r>
        <w:rPr>
          <w:sz w:val="28"/>
          <w:szCs w:val="32"/>
        </w:rPr>
        <w:fldChar w:fldCharType="separate"/>
      </w:r>
      <w:r>
        <w:rPr>
          <w:rStyle w:val="11"/>
          <w:rFonts w:eastAsia="方正黑体_GBK"/>
          <w:sz w:val="28"/>
          <w:szCs w:val="32"/>
        </w:rPr>
        <w:t>六、保障措施</w:t>
      </w:r>
      <w:r>
        <w:rPr>
          <w:sz w:val="28"/>
          <w:szCs w:val="32"/>
        </w:rPr>
        <w:tab/>
      </w:r>
      <w:r>
        <w:rPr>
          <w:sz w:val="28"/>
          <w:szCs w:val="32"/>
        </w:rPr>
        <w:fldChar w:fldCharType="begin"/>
      </w:r>
      <w:r>
        <w:rPr>
          <w:sz w:val="28"/>
          <w:szCs w:val="32"/>
        </w:rPr>
        <w:instrText xml:space="preserve"> PAGEREF _Toc106013358 \h </w:instrText>
      </w:r>
      <w:r>
        <w:rPr>
          <w:sz w:val="28"/>
          <w:szCs w:val="32"/>
        </w:rPr>
        <w:fldChar w:fldCharType="separate"/>
      </w:r>
      <w:r>
        <w:rPr>
          <w:sz w:val="28"/>
          <w:szCs w:val="32"/>
        </w:rPr>
        <w:t>- 64 -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"_Toc106013359"</w:instrText>
      </w:r>
      <w:r>
        <w:rPr>
          <w:rStyle w:val="11"/>
          <w:sz w:val="28"/>
          <w:szCs w:val="32"/>
        </w:rPr>
        <w:instrText xml:space="preserve"> </w:instrText>
      </w:r>
      <w:r>
        <w:rPr>
          <w:sz w:val="28"/>
          <w:szCs w:val="32"/>
        </w:rPr>
        <w:fldChar w:fldCharType="separate"/>
      </w:r>
      <w:r>
        <w:rPr>
          <w:rStyle w:val="11"/>
          <w:rFonts w:eastAsia="方正楷体_GBK"/>
          <w:sz w:val="28"/>
          <w:szCs w:val="32"/>
        </w:rPr>
        <w:t>（一）加强组织领导</w:t>
      </w:r>
      <w:r>
        <w:rPr>
          <w:sz w:val="28"/>
          <w:szCs w:val="32"/>
        </w:rPr>
        <w:tab/>
      </w:r>
      <w:r>
        <w:rPr>
          <w:sz w:val="28"/>
          <w:szCs w:val="32"/>
        </w:rPr>
        <w:fldChar w:fldCharType="begin"/>
      </w:r>
      <w:r>
        <w:rPr>
          <w:sz w:val="28"/>
          <w:szCs w:val="32"/>
        </w:rPr>
        <w:instrText xml:space="preserve"> PAGEREF _Toc106013359 \h </w:instrText>
      </w:r>
      <w:r>
        <w:rPr>
          <w:sz w:val="28"/>
          <w:szCs w:val="32"/>
        </w:rPr>
        <w:fldChar w:fldCharType="separate"/>
      </w:r>
      <w:r>
        <w:rPr>
          <w:sz w:val="28"/>
          <w:szCs w:val="32"/>
        </w:rPr>
        <w:t>- 64 -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"_Toc106013360"</w:instrText>
      </w:r>
      <w:r>
        <w:rPr>
          <w:rStyle w:val="11"/>
          <w:sz w:val="28"/>
          <w:szCs w:val="32"/>
        </w:rPr>
        <w:instrText xml:space="preserve"> </w:instrText>
      </w:r>
      <w:r>
        <w:rPr>
          <w:sz w:val="28"/>
          <w:szCs w:val="32"/>
        </w:rPr>
        <w:fldChar w:fldCharType="separate"/>
      </w:r>
      <w:r>
        <w:rPr>
          <w:rStyle w:val="11"/>
          <w:rFonts w:eastAsia="方正楷体_GBK"/>
          <w:sz w:val="28"/>
          <w:szCs w:val="32"/>
        </w:rPr>
        <w:t>（二）做实要素保障</w:t>
      </w:r>
      <w:r>
        <w:rPr>
          <w:sz w:val="28"/>
          <w:szCs w:val="32"/>
        </w:rPr>
        <w:tab/>
      </w:r>
      <w:r>
        <w:rPr>
          <w:sz w:val="28"/>
          <w:szCs w:val="32"/>
        </w:rPr>
        <w:fldChar w:fldCharType="begin"/>
      </w:r>
      <w:r>
        <w:rPr>
          <w:sz w:val="28"/>
          <w:szCs w:val="32"/>
        </w:rPr>
        <w:instrText xml:space="preserve"> PAGEREF _Toc106013360 \h </w:instrText>
      </w:r>
      <w:r>
        <w:rPr>
          <w:sz w:val="28"/>
          <w:szCs w:val="32"/>
        </w:rPr>
        <w:fldChar w:fldCharType="separate"/>
      </w:r>
      <w:r>
        <w:rPr>
          <w:sz w:val="28"/>
          <w:szCs w:val="32"/>
        </w:rPr>
        <w:t>- 65 -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"_Toc106013361"</w:instrText>
      </w:r>
      <w:r>
        <w:rPr>
          <w:rStyle w:val="11"/>
          <w:sz w:val="28"/>
          <w:szCs w:val="32"/>
        </w:rPr>
        <w:instrText xml:space="preserve"> </w:instrText>
      </w:r>
      <w:r>
        <w:rPr>
          <w:sz w:val="28"/>
          <w:szCs w:val="32"/>
        </w:rPr>
        <w:fldChar w:fldCharType="separate"/>
      </w:r>
      <w:r>
        <w:rPr>
          <w:rStyle w:val="11"/>
          <w:rFonts w:eastAsia="方正楷体_GBK"/>
          <w:sz w:val="28"/>
          <w:szCs w:val="32"/>
        </w:rPr>
        <w:t>（三）强化项目支撑</w:t>
      </w:r>
      <w:r>
        <w:rPr>
          <w:sz w:val="28"/>
          <w:szCs w:val="32"/>
        </w:rPr>
        <w:tab/>
      </w:r>
      <w:r>
        <w:rPr>
          <w:sz w:val="28"/>
          <w:szCs w:val="32"/>
        </w:rPr>
        <w:fldChar w:fldCharType="begin"/>
      </w:r>
      <w:r>
        <w:rPr>
          <w:sz w:val="28"/>
          <w:szCs w:val="32"/>
        </w:rPr>
        <w:instrText xml:space="preserve"> PAGEREF _Toc106013361 \h </w:instrText>
      </w:r>
      <w:r>
        <w:rPr>
          <w:sz w:val="28"/>
          <w:szCs w:val="32"/>
        </w:rPr>
        <w:fldChar w:fldCharType="separate"/>
      </w:r>
      <w:r>
        <w:rPr>
          <w:sz w:val="28"/>
          <w:szCs w:val="32"/>
        </w:rPr>
        <w:t>- 65 -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"_Toc106013362"</w:instrText>
      </w:r>
      <w:r>
        <w:rPr>
          <w:rStyle w:val="11"/>
          <w:sz w:val="28"/>
          <w:szCs w:val="32"/>
        </w:rPr>
        <w:instrText xml:space="preserve"> </w:instrText>
      </w:r>
      <w:r>
        <w:rPr>
          <w:sz w:val="28"/>
          <w:szCs w:val="32"/>
        </w:rPr>
        <w:fldChar w:fldCharType="separate"/>
      </w:r>
      <w:r>
        <w:rPr>
          <w:rStyle w:val="11"/>
          <w:rFonts w:eastAsia="方正楷体_GBK"/>
          <w:sz w:val="28"/>
          <w:szCs w:val="32"/>
        </w:rPr>
        <w:t>（四）优化营商环境</w:t>
      </w:r>
      <w:r>
        <w:rPr>
          <w:sz w:val="28"/>
          <w:szCs w:val="32"/>
        </w:rPr>
        <w:tab/>
      </w:r>
      <w:r>
        <w:rPr>
          <w:sz w:val="28"/>
          <w:szCs w:val="32"/>
        </w:rPr>
        <w:fldChar w:fldCharType="begin"/>
      </w:r>
      <w:r>
        <w:rPr>
          <w:sz w:val="28"/>
          <w:szCs w:val="32"/>
        </w:rPr>
        <w:instrText xml:space="preserve"> PAGEREF _Toc106013362 \h </w:instrText>
      </w:r>
      <w:r>
        <w:rPr>
          <w:sz w:val="28"/>
          <w:szCs w:val="32"/>
        </w:rPr>
        <w:fldChar w:fldCharType="separate"/>
      </w:r>
      <w:r>
        <w:rPr>
          <w:sz w:val="28"/>
          <w:szCs w:val="32"/>
        </w:rPr>
        <w:t>- 66 -</w:t>
      </w:r>
      <w:r>
        <w:rPr>
          <w:sz w:val="28"/>
          <w:szCs w:val="32"/>
        </w:rPr>
        <w:fldChar w:fldCharType="end"/>
      </w:r>
      <w:r>
        <w:rPr>
          <w:sz w:val="28"/>
          <w:szCs w:val="32"/>
        </w:rPr>
        <w:fldChar w:fldCharType="end"/>
      </w:r>
    </w:p>
    <w:p>
      <w:pPr>
        <w:pStyle w:val="8"/>
        <w:tabs>
          <w:tab w:val="right" w:leader="dot" w:pos="9004"/>
        </w:tabs>
        <w:spacing w:line="276" w:lineRule="auto"/>
        <w:rPr>
          <w:rFonts w:eastAsia="等线"/>
          <w:sz w:val="28"/>
          <w:szCs w:val="32"/>
        </w:rPr>
      </w:pPr>
      <w:r>
        <w:rPr>
          <w:sz w:val="28"/>
          <w:szCs w:val="32"/>
        </w:rPr>
        <w:fldChar w:fldCharType="begin"/>
      </w:r>
      <w:r>
        <w:rPr>
          <w:rStyle w:val="11"/>
          <w:sz w:val="28"/>
          <w:szCs w:val="32"/>
        </w:rPr>
        <w:instrText xml:space="preserve"> </w:instrText>
      </w:r>
      <w:r>
        <w:rPr>
          <w:sz w:val="28"/>
          <w:szCs w:val="32"/>
        </w:rPr>
        <w:instrText xml:space="preserve">HYPERLINK \l "_Toc106013363"</w:instrText>
      </w:r>
      <w:r>
        <w:rPr>
          <w:rStyle w:val="11"/>
          <w:sz w:val="28"/>
          <w:szCs w:val="32"/>
        </w:rPr>
        <w:instrText xml:space="preserve"> </w:instrText>
      </w:r>
      <w:r>
        <w:rPr>
          <w:sz w:val="28"/>
          <w:szCs w:val="32"/>
        </w:rPr>
        <w:fldChar w:fldCharType="separate"/>
      </w:r>
      <w:r>
        <w:rPr>
          <w:rStyle w:val="11"/>
          <w:rFonts w:eastAsia="方正楷体_GBK"/>
          <w:sz w:val="28"/>
          <w:szCs w:val="32"/>
        </w:rPr>
        <w:t>（五）守牢安全底线</w:t>
      </w:r>
      <w:r>
        <w:rPr>
          <w:sz w:val="28"/>
          <w:szCs w:val="32"/>
        </w:rPr>
        <w:tab/>
      </w:r>
      <w:r>
        <w:rPr>
          <w:sz w:val="28"/>
          <w:szCs w:val="32"/>
        </w:rPr>
        <w:fldChar w:fldCharType="begin"/>
      </w:r>
      <w:r>
        <w:rPr>
          <w:sz w:val="28"/>
          <w:szCs w:val="32"/>
        </w:rPr>
        <w:instrText xml:space="preserve"> PAGEREF _Toc106013363 \h </w:instrText>
      </w:r>
      <w:r>
        <w:rPr>
          <w:sz w:val="28"/>
          <w:szCs w:val="32"/>
        </w:rPr>
        <w:fldChar w:fldCharType="separate"/>
      </w:r>
      <w:r>
        <w:rPr>
          <w:sz w:val="28"/>
          <w:szCs w:val="32"/>
        </w:rPr>
        <w:t>- 67 -</w:t>
      </w:r>
      <w:r>
        <w:rPr>
          <w:sz w:val="28"/>
          <w:szCs w:val="32"/>
        </w:rPr>
        <w:fldChar w:fldCharType="end"/>
      </w:r>
      <w:r>
        <w:rPr>
          <w:sz w:val="28"/>
          <w:szCs w:val="32"/>
        </w:rPr>
        <w:fldChar w:fldCharType="end"/>
      </w:r>
    </w:p>
    <w:p>
      <w:pPr>
        <w:pStyle w:val="6"/>
        <w:tabs>
          <w:tab w:val="right" w:leader="dot" w:pos="9004"/>
        </w:tabs>
        <w:spacing w:line="276" w:lineRule="auto"/>
        <w:rPr>
          <w:sz w:val="44"/>
          <w:szCs w:val="48"/>
        </w:rPr>
      </w:pPr>
      <w:r>
        <w:rPr>
          <w:sz w:val="28"/>
          <w:szCs w:val="32"/>
        </w:rPr>
        <w:fldChar w:fldCharType="begin"/>
      </w:r>
      <w:r>
        <w:rPr>
          <w:rStyle w:val="11"/>
          <w:sz w:val="28"/>
          <w:szCs w:val="32"/>
        </w:rPr>
        <w:instrText xml:space="preserve"> </w:instrText>
      </w:r>
      <w:r>
        <w:rPr>
          <w:sz w:val="28"/>
          <w:szCs w:val="32"/>
        </w:rPr>
        <w:instrText xml:space="preserve">HYPERLINK \l "_Toc106013364"</w:instrText>
      </w:r>
      <w:r>
        <w:rPr>
          <w:rStyle w:val="11"/>
          <w:sz w:val="28"/>
          <w:szCs w:val="32"/>
        </w:rPr>
        <w:instrText xml:space="preserve"> </w:instrText>
      </w:r>
      <w:r>
        <w:rPr>
          <w:sz w:val="28"/>
          <w:szCs w:val="32"/>
        </w:rPr>
        <w:fldChar w:fldCharType="separate"/>
      </w:r>
      <w:r>
        <w:rPr>
          <w:rStyle w:val="11"/>
          <w:rFonts w:eastAsia="方正仿宋_GBK"/>
          <w:b/>
          <w:bCs/>
          <w:sz w:val="28"/>
          <w:szCs w:val="32"/>
        </w:rPr>
        <w:t>附表 大足区工业和信息化“十四五”发展规划重点建设项目表</w:t>
      </w:r>
      <w:r>
        <w:rPr>
          <w:sz w:val="28"/>
          <w:szCs w:val="32"/>
        </w:rPr>
        <w:tab/>
      </w:r>
      <w:r>
        <w:rPr>
          <w:sz w:val="28"/>
          <w:szCs w:val="32"/>
        </w:rPr>
        <w:fldChar w:fldCharType="begin"/>
      </w:r>
      <w:r>
        <w:rPr>
          <w:sz w:val="28"/>
          <w:szCs w:val="32"/>
        </w:rPr>
        <w:instrText xml:space="preserve"> PAGEREF _Toc106013364 \h </w:instrText>
      </w:r>
      <w:r>
        <w:rPr>
          <w:sz w:val="28"/>
          <w:szCs w:val="32"/>
        </w:rPr>
        <w:fldChar w:fldCharType="separate"/>
      </w:r>
      <w:r>
        <w:rPr>
          <w:sz w:val="28"/>
          <w:szCs w:val="32"/>
        </w:rPr>
        <w:t>- 68 -</w:t>
      </w:r>
      <w:r>
        <w:rPr>
          <w:sz w:val="28"/>
          <w:szCs w:val="32"/>
        </w:rPr>
        <w:fldChar w:fldCharType="end"/>
      </w:r>
      <w:r>
        <w:rPr>
          <w:sz w:val="28"/>
          <w:szCs w:val="32"/>
        </w:rPr>
        <w:fldChar w:fldCharType="end"/>
      </w:r>
      <w:r>
        <w:rPr>
          <w:sz w:val="500"/>
          <w:szCs w:val="520"/>
        </w:rPr>
        <w:fldChar w:fldCharType="end"/>
      </w:r>
    </w:p>
    <w:p>
      <w:pPr>
        <w:widowControl/>
        <w:spacing w:line="594" w:lineRule="exact"/>
        <w:outlineLvl w:val="0"/>
        <w:rPr>
          <w:rFonts w:eastAsia="方正黑体_GBK"/>
          <w:sz w:val="32"/>
          <w:szCs w:val="32"/>
        </w:rPr>
        <w:sectPr>
          <w:footerReference r:id="rId10" w:type="default"/>
          <w:headerReference r:id="rId9" w:type="even"/>
          <w:footerReference r:id="rId11" w:type="even"/>
          <w:pgSz w:w="11906" w:h="16838"/>
          <w:pgMar w:top="1985" w:right="1446" w:bottom="1644" w:left="1446" w:header="851" w:footer="992" w:gutter="0"/>
          <w:pgNumType w:fmt="numberInDash" w:start="1"/>
          <w:cols w:space="720" w:num="1"/>
          <w:docGrid w:linePitch="312" w:charSpace="0"/>
        </w:sectPr>
      </w:pPr>
    </w:p>
    <w:bookmarkEnd w:id="1"/>
    <w:p>
      <w:pPr>
        <w:spacing w:after="240" w:afterLines="100"/>
        <w:jc w:val="center"/>
        <w:rPr>
          <w:rFonts w:eastAsia="方正小标宋_GBK"/>
          <w:sz w:val="44"/>
          <w:szCs w:val="44"/>
        </w:rPr>
      </w:pPr>
      <w:bookmarkStart w:id="2" w:name="_Toc93234493"/>
      <w:bookmarkStart w:id="3" w:name="_Toc87852599"/>
      <w:bookmarkStart w:id="4" w:name="_Toc87852604"/>
      <w:r>
        <w:rPr>
          <w:rFonts w:eastAsia="方正小标宋_GBK"/>
          <w:sz w:val="44"/>
          <w:szCs w:val="44"/>
        </w:rPr>
        <w:t>重庆市大足区工业和信息化“十四五”发展规划</w:t>
      </w:r>
    </w:p>
    <w:p>
      <w:pPr>
        <w:jc w:val="center"/>
        <w:rPr>
          <w:rFonts w:eastAsia="方正楷体_GBK"/>
          <w:sz w:val="32"/>
          <w:szCs w:val="20"/>
        </w:rPr>
      </w:pPr>
      <w:r>
        <w:rPr>
          <w:rFonts w:eastAsia="方正楷体_GBK"/>
          <w:sz w:val="32"/>
          <w:szCs w:val="20"/>
        </w:rPr>
        <w:t>（2021—2025年）</w:t>
      </w:r>
    </w:p>
    <w:p>
      <w:pPr>
        <w:adjustRightInd w:val="0"/>
        <w:snapToGrid w:val="0"/>
        <w:spacing w:line="570" w:lineRule="exact"/>
        <w:jc w:val="center"/>
        <w:rPr>
          <w:rFonts w:eastAsia="方正仿宋_GBK"/>
          <w:sz w:val="32"/>
        </w:rPr>
      </w:pPr>
    </w:p>
    <w:p>
      <w:pPr>
        <w:adjustRightInd w:val="0"/>
        <w:snapToGrid w:val="0"/>
        <w:spacing w:line="570" w:lineRule="exact"/>
        <w:ind w:firstLine="640" w:firstLineChars="200"/>
        <w:rPr>
          <w:rFonts w:eastAsia="方正仿宋_GBK"/>
          <w:sz w:val="32"/>
        </w:rPr>
      </w:pPr>
      <w:r>
        <w:rPr>
          <w:rFonts w:eastAsia="方正仿宋_GBK"/>
          <w:sz w:val="32"/>
        </w:rPr>
        <w:t>为贯彻落实习近平总书记重要指示精神和党中央、国务院决策部署，深度融入成渝地区双城经济圈建设和全市“一区两群”协调发展，全力推动特色产业高地建设，助力全区加快做靓享誉世界的文化会客厅、建强链接成渝的“两高”桥头堡，根据《成渝地区双城经济圈建设规划纲要》《重庆市制造业高质量发展“十四五”规划》《重庆市大足区国民经济和社会发展第十四个五年规划纲要和二〇三五年远景目标纲要》等文件要求，按照区第三次党代会精神，制定本规划，旨在明确全区工业和信息化发展的思路、目标和主要任务，推动高质量发展。规划期为2021年至2025年，展望至2035年。</w:t>
      </w:r>
      <w:bookmarkEnd w:id="2"/>
      <w:bookmarkEnd w:id="3"/>
    </w:p>
    <w:bookmarkEnd w:id="4"/>
    <w:p>
      <w:pPr>
        <w:widowControl/>
        <w:spacing w:line="594" w:lineRule="exact"/>
        <w:outlineLvl w:val="0"/>
        <w:rPr>
          <w:rFonts w:eastAsia="方正黑体_GBK"/>
          <w:sz w:val="32"/>
          <w:szCs w:val="32"/>
        </w:rPr>
      </w:pPr>
      <w:bookmarkStart w:id="5" w:name="_Toc97749240"/>
      <w:bookmarkStart w:id="6" w:name="_Toc106013338"/>
      <w:bookmarkStart w:id="7" w:name="_Toc93234496"/>
      <w:bookmarkStart w:id="8" w:name="_Toc87852602"/>
      <w:bookmarkStart w:id="9" w:name="_Toc97749244"/>
      <w:bookmarkStart w:id="10" w:name="_Toc87852611"/>
      <w:r>
        <w:rPr>
          <w:rFonts w:eastAsia="方正黑体_GBK"/>
          <w:sz w:val="32"/>
          <w:szCs w:val="32"/>
        </w:rPr>
        <w:t>一、</w:t>
      </w:r>
      <w:bookmarkEnd w:id="5"/>
      <w:r>
        <w:rPr>
          <w:rFonts w:eastAsia="方正黑体_GBK"/>
          <w:sz w:val="32"/>
          <w:szCs w:val="32"/>
        </w:rPr>
        <w:t>发展回顾与形势展望</w:t>
      </w:r>
      <w:bookmarkEnd w:id="6"/>
    </w:p>
    <w:p>
      <w:pPr>
        <w:widowControl/>
        <w:spacing w:line="594" w:lineRule="exact"/>
        <w:ind w:firstLine="640" w:firstLineChars="200"/>
        <w:outlineLvl w:val="1"/>
        <w:rPr>
          <w:rFonts w:eastAsia="方正楷体_GBK"/>
          <w:sz w:val="32"/>
          <w:szCs w:val="32"/>
        </w:rPr>
      </w:pPr>
      <w:bookmarkStart w:id="11" w:name="_Toc93234494"/>
      <w:bookmarkStart w:id="12" w:name="_Toc87852600"/>
      <w:bookmarkStart w:id="13" w:name="_Toc97749241"/>
      <w:bookmarkStart w:id="14" w:name="_Toc106013339"/>
      <w:r>
        <w:rPr>
          <w:rFonts w:eastAsia="方正楷体_GBK"/>
          <w:sz w:val="32"/>
          <w:szCs w:val="32"/>
        </w:rPr>
        <w:t>（一）</w:t>
      </w:r>
      <w:bookmarkEnd w:id="11"/>
      <w:bookmarkEnd w:id="12"/>
      <w:r>
        <w:rPr>
          <w:rFonts w:eastAsia="方正楷体_GBK"/>
          <w:sz w:val="32"/>
          <w:szCs w:val="32"/>
        </w:rPr>
        <w:t>发展成效</w:t>
      </w:r>
      <w:bookmarkEnd w:id="13"/>
      <w:bookmarkEnd w:id="14"/>
    </w:p>
    <w:p>
      <w:pPr>
        <w:adjustRightInd w:val="0"/>
        <w:snapToGrid w:val="0"/>
        <w:spacing w:line="570" w:lineRule="exact"/>
        <w:ind w:firstLine="640" w:firstLineChars="200"/>
        <w:rPr>
          <w:rFonts w:eastAsia="方正仿宋_GBK"/>
          <w:sz w:val="32"/>
        </w:rPr>
      </w:pPr>
      <w:r>
        <w:rPr>
          <w:rFonts w:eastAsia="方正仿宋_GBK"/>
          <w:sz w:val="32"/>
        </w:rPr>
        <w:t>“十三五”期间，大足区积极抢抓长江经济带发展、成渝地区双城经济圈建设、全市“一区两群”协调发展等重大战略机遇，坚持特色化、集群化、高端化、智能化、绿色化发展方向，大力实施以大数据智能化为引领的创新驱动发展战略行动计划，提速创建国家级高新区、国家级经开区和国家级文创示范园区，工业经济健康、持续、稳定发展，工业和信息化融合水平不断提高，为建设特色产业高地、实现高质量发展奠定了坚实基础。</w:t>
      </w:r>
    </w:p>
    <w:p>
      <w:pPr>
        <w:spacing w:line="594" w:lineRule="exact"/>
        <w:ind w:firstLine="643" w:firstLineChars="200"/>
        <w:rPr>
          <w:rFonts w:eastAsia="方正仿宋_GBK"/>
          <w:kern w:val="0"/>
          <w:sz w:val="32"/>
          <w:szCs w:val="32"/>
        </w:rPr>
      </w:pPr>
      <w:r>
        <w:rPr>
          <w:rFonts w:eastAsia="方正仿宋_GBK"/>
          <w:b/>
          <w:bCs/>
          <w:kern w:val="0"/>
          <w:sz w:val="32"/>
          <w:szCs w:val="32"/>
        </w:rPr>
        <w:t>工业综合实力稳步提升。</w:t>
      </w:r>
      <w:r>
        <w:rPr>
          <w:rFonts w:eastAsia="方正仿宋_GBK"/>
          <w:kern w:val="0"/>
          <w:sz w:val="32"/>
          <w:szCs w:val="32"/>
        </w:rPr>
        <w:t>沉着应对百年变局和世纪疫情，扎实推进“制造强区”建设，</w:t>
      </w:r>
      <w:r>
        <w:rPr>
          <w:rFonts w:eastAsia="方正仿宋_GBK"/>
          <w:sz w:val="32"/>
          <w:szCs w:val="32"/>
        </w:rPr>
        <w:t>推动工业</w:t>
      </w:r>
      <w:r>
        <w:rPr>
          <w:rFonts w:eastAsia="方正仿宋_GBK"/>
          <w:kern w:val="0"/>
          <w:sz w:val="32"/>
          <w:szCs w:val="32"/>
        </w:rPr>
        <w:t>高质量发展取得新成效</w:t>
      </w:r>
      <w:r>
        <w:rPr>
          <w:rFonts w:eastAsia="方正仿宋_GBK"/>
          <w:sz w:val="32"/>
          <w:szCs w:val="32"/>
        </w:rPr>
        <w:t>。</w:t>
      </w:r>
      <w:r>
        <w:rPr>
          <w:rFonts w:eastAsia="方正仿宋_GBK"/>
          <w:kern w:val="0"/>
          <w:sz w:val="32"/>
          <w:szCs w:val="32"/>
        </w:rPr>
        <w:t>2020年地区生产总值达到700.5亿元，“十三五”期间平均增速8.2%，规上工业企业数量达到358家，实现规上工业总产值673.9亿元，“十三五”期间平均增速13.5%，工业增加值达到262.3亿元，“十三五”期间平均增速8.9%，工业对经济增长的贡献率提高到55.2%，工业支撑更加有力，</w:t>
      </w:r>
      <w:r>
        <w:rPr>
          <w:rFonts w:eastAsia="方正仿宋_GBK"/>
          <w:sz w:val="32"/>
          <w:szCs w:val="32"/>
        </w:rPr>
        <w:t>发展后劲持续增强</w:t>
      </w:r>
      <w:r>
        <w:rPr>
          <w:rFonts w:eastAsia="方正仿宋_GBK"/>
          <w:kern w:val="0"/>
          <w:sz w:val="32"/>
          <w:szCs w:val="32"/>
        </w:rPr>
        <w:t>。</w:t>
      </w:r>
    </w:p>
    <w:p>
      <w:pPr>
        <w:spacing w:line="594" w:lineRule="exact"/>
        <w:ind w:firstLine="643" w:firstLineChars="200"/>
        <w:rPr>
          <w:rFonts w:eastAsia="方正仿宋_GBK"/>
          <w:kern w:val="0"/>
          <w:sz w:val="32"/>
          <w:szCs w:val="32"/>
        </w:rPr>
      </w:pPr>
      <w:r>
        <w:rPr>
          <w:rFonts w:eastAsia="方正仿宋_GBK"/>
          <w:b/>
          <w:bCs/>
          <w:kern w:val="0"/>
          <w:sz w:val="32"/>
          <w:szCs w:val="32"/>
        </w:rPr>
        <w:t>产业载体建设扎实推进。</w:t>
      </w:r>
      <w:r>
        <w:rPr>
          <w:rFonts w:eastAsia="方正仿宋_GBK"/>
          <w:kern w:val="0"/>
          <w:sz w:val="32"/>
          <w:szCs w:val="32"/>
        </w:rPr>
        <w:t>坚持全区产业布局一盘棋，双桥经开区、大足高新区、大足工业园区、大足石刻文创园各有侧重，联动发展。2020年，双桥经开区、大足高新区、大足工业园区建成区面积分别达到19.5平方公里、5平方公里和6.78平方公里，分别实现规上工业总产值331亿元、108.2亿元和187.6亿元，共占全区规上工业总产值的93%。双桥经开区成功创建重庆市特色产业（电子关键部件、专用车）建设基地；大足高新区获批国家火炬工业机器人特色产业基地、全市环保装备建设基地、特种装备产业示范园区、智能装备产业基地；大足工业园区成功创建全市现代五金示范基地、现代家居建设基地；大足石刻文创园建设加快推进，获批重庆市文化产业示范园区。</w:t>
      </w:r>
    </w:p>
    <w:p>
      <w:pPr>
        <w:snapToGrid w:val="0"/>
        <w:jc w:val="center"/>
      </w:pPr>
      <w:r>
        <w:fldChar w:fldCharType="begin"/>
      </w:r>
      <w:r>
        <w:instrText xml:space="preserve"> INCLUDEPICTURE "C:\\Users\\Administrator\\Documents\\Tencent Files\\574116042\\Image\\C2C\\C2G~7(Q8]B%]PC}VN3MO[_H.png" \* MERGEFORMATINET </w:instrText>
      </w:r>
      <w:r>
        <w:fldChar w:fldCharType="separate"/>
      </w:r>
      <w:r>
        <w:drawing>
          <wp:inline distT="0" distB="0" distL="114300" distR="114300">
            <wp:extent cx="4742815" cy="2915920"/>
            <wp:effectExtent l="0" t="0" r="635" b="17780"/>
            <wp:docPr id="3" name="图片 1" descr="C2G~7(Q8]B%]PC}VN3MO[_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C2G~7(Q8]B%]PC}VN3MO[_H"/>
                    <pic:cNvPicPr>
                      <a:picLocks noChangeAspect="1"/>
                    </pic:cNvPicPr>
                  </pic:nvPicPr>
                  <pic:blipFill>
                    <a:blip r:embed="rId13"/>
                    <a:stretch>
                      <a:fillRect/>
                    </a:stretch>
                  </pic:blipFill>
                  <pic:spPr>
                    <a:xfrm>
                      <a:off x="0" y="0"/>
                      <a:ext cx="4742815" cy="2915920"/>
                    </a:xfrm>
                    <a:prstGeom prst="rect">
                      <a:avLst/>
                    </a:prstGeom>
                    <a:noFill/>
                    <a:ln w="9525">
                      <a:noFill/>
                    </a:ln>
                  </pic:spPr>
                </pic:pic>
              </a:graphicData>
            </a:graphic>
          </wp:inline>
        </w:drawing>
      </w:r>
      <w:r>
        <w:fldChar w:fldCharType="end"/>
      </w:r>
    </w:p>
    <w:p>
      <w:pPr>
        <w:snapToGrid w:val="0"/>
        <w:spacing w:after="120" w:afterLines="50"/>
        <w:jc w:val="center"/>
        <w:rPr>
          <w:b/>
          <w:bCs/>
          <w:sz w:val="28"/>
          <w:szCs w:val="21"/>
        </w:rPr>
      </w:pPr>
      <w:r>
        <w:rPr>
          <w:b/>
          <w:bCs/>
          <w:sz w:val="28"/>
          <w:szCs w:val="21"/>
        </w:rPr>
        <w:t>图1-1 四大发展载体2020年基本情况对比图</w:t>
      </w:r>
    </w:p>
    <w:p>
      <w:pPr>
        <w:spacing w:line="594" w:lineRule="exact"/>
        <w:ind w:firstLine="643" w:firstLineChars="200"/>
        <w:rPr>
          <w:rFonts w:eastAsia="方正仿宋_GBK"/>
          <w:kern w:val="0"/>
          <w:sz w:val="32"/>
          <w:szCs w:val="32"/>
        </w:rPr>
      </w:pPr>
      <w:r>
        <w:rPr>
          <w:rFonts w:eastAsia="方正仿宋_GBK"/>
          <w:b/>
          <w:bCs/>
          <w:kern w:val="0"/>
          <w:sz w:val="32"/>
          <w:szCs w:val="32"/>
        </w:rPr>
        <w:t>产业集群发展成效显著。</w:t>
      </w:r>
      <w:r>
        <w:rPr>
          <w:rFonts w:eastAsia="方正仿宋_GBK"/>
          <w:kern w:val="0"/>
          <w:sz w:val="32"/>
          <w:szCs w:val="32"/>
        </w:rPr>
        <w:t>推动形成五金、汽摩、智能、静脉、文创等产业集群，特色产业支撑效应明显。</w:t>
      </w:r>
      <w:r>
        <w:rPr>
          <w:rFonts w:eastAsia="方正仿宋_GBK"/>
          <w:bCs/>
          <w:kern w:val="0"/>
          <w:sz w:val="32"/>
          <w:szCs w:val="32"/>
        </w:rPr>
        <w:t>五金产业规模稳步提升，形成日用五金、新型建筑五金、智能家电、家居五金、精密模具等五金细分产业，2020年规上工业产值达到128.8亿元，五金市场群交易额达到430亿元。汽摩产业链条逐步完善，集聚专用车、摩托车等整车及车桥、轮胎、钢帘线、金属配件等零部件生产企业，本地配套率超过70%，实现规上工业产值223.5亿元。静脉产业集聚效应初显，形成再生铅30万吨、再生钢101万吨、电子废弃物处理200万台的生产能力，规上工业产值达到131.4亿元。智能产业初具规模，电梯整机、机器人及数控机床、笔电机壳、光电摄像头、芯片等产品种类不断扩大，规上工业产值达到139.5亿元。文创产业主体加速集聚，大足石刻文创园签约企业数达到137家，吸引入驻、聘请专家26名。</w:t>
      </w:r>
      <w:r>
        <w:rPr>
          <w:rFonts w:eastAsia="方正仿宋_GBK"/>
          <w:kern w:val="0"/>
          <w:sz w:val="32"/>
          <w:szCs w:val="32"/>
        </w:rPr>
        <w:t>特色优势产业发展态势整体向好，对全区工业经济特别是制造业高质量发展起到了强有力的支撑引领作用。</w:t>
      </w:r>
    </w:p>
    <w:p>
      <w:pPr>
        <w:spacing w:line="594" w:lineRule="exact"/>
        <w:ind w:firstLine="643" w:firstLineChars="200"/>
        <w:rPr>
          <w:rFonts w:eastAsia="方正仿宋_GBK"/>
          <w:kern w:val="0"/>
          <w:sz w:val="32"/>
          <w:szCs w:val="32"/>
        </w:rPr>
      </w:pPr>
      <w:r>
        <w:rPr>
          <w:rFonts w:eastAsia="方正仿宋_GBK"/>
          <w:b/>
          <w:bCs/>
          <w:kern w:val="0"/>
          <w:sz w:val="32"/>
          <w:szCs w:val="32"/>
        </w:rPr>
        <w:t>高质量发展活力持续释放。</w:t>
      </w:r>
      <w:r>
        <w:rPr>
          <w:rFonts w:eastAsia="方正仿宋_GBK"/>
          <w:kern w:val="0"/>
          <w:sz w:val="32"/>
          <w:szCs w:val="32"/>
        </w:rPr>
        <w:t>深入实施以大数据智能化为引领的创新驱动发展战略，科技创新平台、创新主体建设取得重大进展，联合中科院、重庆大学、西南大学等院校，建成技术创新联盟，成功创建国家区域专利信息服务（重庆）中心大足分中心，建成国家级科技创新平台2个、市级企业技术中心（研发中心）62个、市级工业设计中心2个，科技型企业达到1001家，高新技术企业达到102家，“专精特新”企业入库培育82家、获得示范奖励23家，有效发明专利达到295件。大力推动企业实施智能化、信息化、数字化改造，引导200余家企业实施智能化改造，建成数字化生产线40条、数字化车间4个、智能工厂1个，引导50家企业“上云”提升数字化水平，完成国家级两化融合贯标企业20家，两化融合发展取得初步成效。</w:t>
      </w:r>
    </w:p>
    <w:p>
      <w:pPr>
        <w:spacing w:line="594" w:lineRule="exact"/>
        <w:ind w:firstLine="643" w:firstLineChars="200"/>
        <w:rPr>
          <w:rFonts w:eastAsia="方正仿宋_GBK"/>
          <w:kern w:val="0"/>
          <w:sz w:val="32"/>
          <w:szCs w:val="32"/>
        </w:rPr>
      </w:pPr>
      <w:r>
        <w:rPr>
          <w:rFonts w:eastAsia="方正仿宋_GBK"/>
          <w:b/>
          <w:bCs/>
          <w:kern w:val="0"/>
          <w:sz w:val="32"/>
          <w:szCs w:val="32"/>
        </w:rPr>
        <w:t>新型基础设施建设步伐加快。</w:t>
      </w:r>
      <w:r>
        <w:rPr>
          <w:rFonts w:eastAsia="方正仿宋_GBK"/>
          <w:kern w:val="0"/>
          <w:sz w:val="32"/>
          <w:szCs w:val="32"/>
        </w:rPr>
        <w:t>信息化基础设施不断完善，宽带城市和无线城市建设取得显著成效，信息通信基础设施支撑能力稳步增强，截至2020年末，建成4G基站3800多个，基站信号覆盖率98.5%以上，实现城乡区域全覆盖；建成5G基站1047个，实现城区、园区、景区全覆盖。工业互联网平台建设不断加快，有序推进五金行业工业互联网标识解析二级节点建设，五金工业互联网平台成功入选全国“5G+智慧赋能平台”典型案例，为工业高质量发展奠定了坚实基础。</w:t>
      </w:r>
    </w:p>
    <w:p>
      <w:pPr>
        <w:spacing w:line="594" w:lineRule="exact"/>
        <w:ind w:firstLine="643" w:firstLineChars="200"/>
        <w:rPr>
          <w:rFonts w:eastAsia="方正仿宋_GBK"/>
          <w:sz w:val="32"/>
          <w:szCs w:val="32"/>
          <w:lang w:bidi="ar"/>
        </w:rPr>
      </w:pPr>
      <w:bookmarkStart w:id="15" w:name="_Toc97749242"/>
      <w:r>
        <w:rPr>
          <w:rFonts w:eastAsia="方正仿宋_GBK"/>
          <w:b/>
          <w:bCs/>
          <w:kern w:val="0"/>
          <w:sz w:val="32"/>
          <w:szCs w:val="32"/>
        </w:rPr>
        <w:t>绿色低碳发展成果丰硕。</w:t>
      </w:r>
      <w:r>
        <w:rPr>
          <w:rFonts w:eastAsia="方正仿宋_GBK"/>
          <w:sz w:val="32"/>
          <w:szCs w:val="32"/>
          <w:lang w:bidi="ar"/>
        </w:rPr>
        <w:t>持续推进散乱污治理，2018年起至2020年底，累计完成1209家“散乱污”企业整治。不断加强企业节能指导和监管，企业节能降耗、绿色发展效果明显，规模以上工业单位增加值能耗下降率达到48%，成功创建国家级绿色工厂1个、市级绿色工厂3个，区级节水型企业5家，国家级绿色设计产品1个，大足高新区成功获批市级绿色园区。</w:t>
      </w:r>
    </w:p>
    <w:p>
      <w:pPr>
        <w:spacing w:line="594" w:lineRule="exact"/>
        <w:ind w:firstLine="640" w:firstLineChars="200"/>
        <w:rPr>
          <w:rFonts w:eastAsia="方正仿宋_GBK"/>
          <w:kern w:val="0"/>
          <w:sz w:val="32"/>
          <w:szCs w:val="32"/>
          <w:lang w:bidi="ar"/>
        </w:rPr>
      </w:pPr>
      <w:r>
        <w:rPr>
          <w:rFonts w:eastAsia="方正仿宋_GBK"/>
          <w:kern w:val="0"/>
          <w:sz w:val="32"/>
          <w:szCs w:val="32"/>
        </w:rPr>
        <w:t>与此同时，大足区工业与信息化仍存在一些突出问题亟待解决。一是产业特色化发展不充分，特色</w:t>
      </w:r>
      <w:r>
        <w:rPr>
          <w:rFonts w:eastAsia="方正仿宋_GBK"/>
          <w:kern w:val="0"/>
          <w:sz w:val="32"/>
          <w:szCs w:val="32"/>
          <w:lang w:bidi="ar"/>
        </w:rPr>
        <w:t>产业总体处于价值链低端环节，企业创新意识薄弱，规模以上工业企业中开展研发投入活动的企业占比约25%，与全市平均水平相比仍有较大差距，多数企业仍然处于原材料加工阶段，产品主要集中在中低端领域，工业经济含金量、含新量、含绿量还不高，尚未形成较为完整的产业生态链，缺乏品牌效应。二是桥头堡城市作用未充分发挥，大足地处成渝相向发展战略腹地和重庆主城都市区桥头堡，但与资阳、内江、潼南、铜梁、璧山、永川、荣昌等周边市、区产业协作程度不高，与成都、重庆中心城区联动不强，尚未融入成都高新区、西部科学城等创新生态圈。大足区工业与信息化高质量发展仍任重道远。</w:t>
      </w:r>
      <w:bookmarkEnd w:id="15"/>
    </w:p>
    <w:p>
      <w:pPr>
        <w:widowControl/>
        <w:spacing w:line="594" w:lineRule="exact"/>
        <w:ind w:firstLine="640" w:firstLineChars="200"/>
        <w:outlineLvl w:val="1"/>
        <w:rPr>
          <w:rFonts w:eastAsia="方正楷体_GBK"/>
          <w:sz w:val="32"/>
          <w:szCs w:val="32"/>
        </w:rPr>
      </w:pPr>
      <w:bookmarkStart w:id="16" w:name="_Toc97749243"/>
      <w:bookmarkStart w:id="17" w:name="_Toc106013340"/>
      <w:r>
        <w:rPr>
          <w:rFonts w:eastAsia="方正楷体_GBK"/>
          <w:sz w:val="32"/>
          <w:szCs w:val="32"/>
        </w:rPr>
        <w:t>（二）</w:t>
      </w:r>
      <w:bookmarkEnd w:id="7"/>
      <w:bookmarkEnd w:id="8"/>
      <w:r>
        <w:rPr>
          <w:rFonts w:eastAsia="方正楷体_GBK"/>
          <w:sz w:val="32"/>
          <w:szCs w:val="32"/>
        </w:rPr>
        <w:t>机遇挑战</w:t>
      </w:r>
      <w:bookmarkEnd w:id="16"/>
      <w:bookmarkEnd w:id="17"/>
    </w:p>
    <w:p>
      <w:pPr>
        <w:spacing w:line="594" w:lineRule="exact"/>
        <w:ind w:firstLine="640" w:firstLineChars="200"/>
        <w:rPr>
          <w:rFonts w:eastAsia="方正仿宋_GBK"/>
          <w:kern w:val="0"/>
          <w:sz w:val="32"/>
          <w:szCs w:val="32"/>
        </w:rPr>
      </w:pPr>
      <w:r>
        <w:rPr>
          <w:rFonts w:eastAsia="方正仿宋_GBK"/>
          <w:kern w:val="0"/>
          <w:sz w:val="32"/>
          <w:szCs w:val="32"/>
        </w:rPr>
        <w:t>当前和今后一个时期，我国工业和信息化发展环境面临深刻复杂变化。从国际看，全球新一轮科技革命和产业变革深入发展，新冠肺炎疫情影响持续深入，世界经济深度调整，经济全球化遭遇逆流，单边主义、保护主义上升，世界贸易和投资活动持续低迷，全球产业链供应链面临重构，国际竞争更趋激烈。从国内看，我国正处于新型工业化、信息化、城镇化、农业现代化快速发展阶段，随着构建新发展格局战略部署加速落地，全面深化改革和高水平对外开放持续推进，工业和信息化发展潜力巨大、空间广阔。同时，产业发展不平衡不充分问题仍然突出，企业生产经营困难增多，发展环境亟待优化。未来五年乃至十五年，工业和信息化发展机遇与挑战将持续并存。</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1．发展机遇</w:t>
      </w:r>
    </w:p>
    <w:p>
      <w:pPr>
        <w:spacing w:line="594" w:lineRule="exact"/>
        <w:ind w:firstLine="643" w:firstLineChars="200"/>
        <w:rPr>
          <w:rFonts w:eastAsia="方正仿宋_GBK"/>
          <w:bCs/>
          <w:kern w:val="0"/>
          <w:sz w:val="32"/>
          <w:szCs w:val="32"/>
        </w:rPr>
      </w:pPr>
      <w:r>
        <w:rPr>
          <w:rFonts w:eastAsia="方正仿宋_GBK"/>
          <w:b/>
          <w:kern w:val="0"/>
          <w:sz w:val="32"/>
          <w:szCs w:val="32"/>
        </w:rPr>
        <w:t>全球新一轮科技革命和产业变革蓬勃兴起，为大足工业和信息化发展提供了新的时代机遇。</w:t>
      </w:r>
      <w:r>
        <w:rPr>
          <w:rFonts w:eastAsia="方正仿宋_GBK"/>
          <w:bCs/>
          <w:kern w:val="0"/>
          <w:sz w:val="32"/>
          <w:szCs w:val="32"/>
        </w:rPr>
        <w:t>“十三五”期间，人工智能、大数据、5G等技术正加速实现链式突破和交叉融合，并向制造业各领域渗透，引发产品性质、制造方式、产业形态和商业模式重大变革，“十四五”时期出现新的革命性技术规模应用、产业实现超高速迭代和爆发式增长的可能性较小，大足传统特色产业发展将迎来缓冲期和窗口期，在强创新、提质量、做品牌、扩市场等方面面临重大机遇。</w:t>
      </w:r>
    </w:p>
    <w:p>
      <w:pPr>
        <w:spacing w:line="594" w:lineRule="exact"/>
        <w:ind w:firstLine="643" w:firstLineChars="200"/>
        <w:rPr>
          <w:rFonts w:eastAsia="方正仿宋_GBK"/>
          <w:sz w:val="32"/>
          <w:szCs w:val="32"/>
        </w:rPr>
      </w:pPr>
      <w:r>
        <w:rPr>
          <w:rFonts w:eastAsia="方正仿宋_GBK"/>
          <w:b/>
          <w:kern w:val="0"/>
          <w:sz w:val="32"/>
          <w:szCs w:val="32"/>
        </w:rPr>
        <w:t>国家国内双循环和供给侧结构性</w:t>
      </w:r>
      <w:r>
        <w:rPr>
          <w:rFonts w:hint="eastAsia" w:eastAsia="方正仿宋_GBK"/>
          <w:b/>
          <w:kern w:val="0"/>
          <w:sz w:val="32"/>
          <w:szCs w:val="32"/>
          <w:lang w:val="en-US" w:eastAsia="zh-CN"/>
        </w:rPr>
        <w:t>改革</w:t>
      </w:r>
      <w:bookmarkStart w:id="69" w:name="_GoBack"/>
      <w:bookmarkEnd w:id="69"/>
      <w:r>
        <w:rPr>
          <w:rFonts w:eastAsia="方正仿宋_GBK"/>
          <w:b/>
          <w:kern w:val="0"/>
          <w:sz w:val="32"/>
          <w:szCs w:val="32"/>
        </w:rPr>
        <w:t>深入推进，为大足工业和信息化发展提供了新的市场机遇。</w:t>
      </w:r>
      <w:r>
        <w:rPr>
          <w:rFonts w:eastAsia="方正仿宋_GBK"/>
          <w:sz w:val="32"/>
          <w:szCs w:val="32"/>
        </w:rPr>
        <w:t>我国经济已由高速增长阶段转向高质量发展的新阶段，正处在转变发展方式、优化经济结构、转换增长动力的攻关期；加快构建以国内大循环为主体、国内国际双循环相互促进的新发展格局，建设全国统一大市场，有利于进一步打破地方保护和市场分割，打通制约经济循环的关键堵点，促进商品要素资源在更大范围内畅通流动</w:t>
      </w:r>
      <w:r>
        <w:rPr>
          <w:rFonts w:eastAsia="方正仿宋_GBK"/>
          <w:bCs/>
          <w:kern w:val="0"/>
          <w:sz w:val="32"/>
          <w:szCs w:val="32"/>
        </w:rPr>
        <w:t>；推动消费结构、需求结构、产业结构全面升级，</w:t>
      </w:r>
      <w:r>
        <w:rPr>
          <w:rFonts w:eastAsia="方正仿宋_GBK"/>
          <w:sz w:val="32"/>
          <w:szCs w:val="32"/>
        </w:rPr>
        <w:t>将为</w:t>
      </w:r>
      <w:r>
        <w:rPr>
          <w:rFonts w:eastAsia="方正仿宋_GBK"/>
          <w:bCs/>
          <w:kern w:val="0"/>
          <w:sz w:val="32"/>
          <w:szCs w:val="32"/>
        </w:rPr>
        <w:t>大足工业和信息化发展</w:t>
      </w:r>
      <w:r>
        <w:rPr>
          <w:rFonts w:eastAsia="方正仿宋_GBK"/>
          <w:sz w:val="32"/>
          <w:szCs w:val="32"/>
        </w:rPr>
        <w:t>赋予全新优势、创造更为有利的条件。</w:t>
      </w:r>
    </w:p>
    <w:p>
      <w:pPr>
        <w:spacing w:line="594" w:lineRule="exact"/>
        <w:ind w:firstLine="643" w:firstLineChars="200"/>
        <w:rPr>
          <w:rFonts w:eastAsia="方正仿宋_GBK"/>
          <w:sz w:val="32"/>
          <w:szCs w:val="32"/>
        </w:rPr>
      </w:pPr>
      <w:r>
        <w:rPr>
          <w:rFonts w:eastAsia="方正仿宋_GBK"/>
          <w:b/>
          <w:kern w:val="0"/>
          <w:sz w:val="32"/>
          <w:szCs w:val="32"/>
        </w:rPr>
        <w:t>成渝地区双城经济圈建设和全市“一区两群”协调发展，为大足工业和信息化发展提供了新的战略机遇。</w:t>
      </w:r>
      <w:r>
        <w:rPr>
          <w:rFonts w:eastAsia="方正仿宋_GBK"/>
          <w:sz w:val="32"/>
          <w:szCs w:val="32"/>
        </w:rPr>
        <w:t>国家深入推进新时代西部大开发、共建“一带一路”、长江经济带绿色发展、成渝地区双城经济圈建设等重大战略，重庆市积极推动“一区两群”协调发展，大足作为成渝相向发展战略腹地、重庆主城都市区“桥头堡”城市，在拓宽产业发展空间、优化发展环境、承接东部沿海地区和国际产业转移、建设具有辐射效应的区域性中心城市等方面具备一定优势。</w:t>
      </w:r>
    </w:p>
    <w:p>
      <w:pPr>
        <w:spacing w:line="594" w:lineRule="exact"/>
        <w:ind w:firstLine="643" w:firstLineChars="200"/>
        <w:rPr>
          <w:rFonts w:eastAsia="方正仿宋_GBK"/>
          <w:bCs/>
          <w:kern w:val="0"/>
          <w:sz w:val="32"/>
          <w:szCs w:val="32"/>
        </w:rPr>
      </w:pPr>
      <w:r>
        <w:rPr>
          <w:rFonts w:eastAsia="方正仿宋_GBK"/>
          <w:b/>
          <w:kern w:val="0"/>
          <w:sz w:val="32"/>
          <w:szCs w:val="32"/>
        </w:rPr>
        <w:t>重庆市加速建设国家先进制造业中心，为大足工业和信息化发展提供了新的政策机遇。</w:t>
      </w:r>
      <w:r>
        <w:rPr>
          <w:rFonts w:eastAsia="方正仿宋_GBK"/>
          <w:sz w:val="32"/>
          <w:szCs w:val="32"/>
        </w:rPr>
        <w:t>今后五年，全市将坚持制造业高端化、智能化、绿色化发展方向，聚焦新一代信息技术、新能源及智能网联汽车、高端装备、新材料、生物医药、节能环保等重点产业，全力打造国家重要先进制造业中心，正为大足培育壮大“6+2”特色产业集群提供强力支持。此外，重庆主城中心城区正加快集聚国际交往、科技创新、先进制造、现代服务等功能，且现有产业用地有限，“十四五”期间中心城区次级产业外溢是必然情况，为大足区承接中心城区产业转移创造了机遇。</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2．面临挑战</w:t>
      </w:r>
    </w:p>
    <w:p>
      <w:pPr>
        <w:spacing w:line="594" w:lineRule="exact"/>
        <w:ind w:firstLine="643" w:firstLineChars="200"/>
        <w:rPr>
          <w:rFonts w:eastAsia="方正仿宋_GBK"/>
          <w:bCs/>
          <w:kern w:val="0"/>
          <w:sz w:val="32"/>
          <w:szCs w:val="32"/>
        </w:rPr>
      </w:pPr>
      <w:r>
        <w:rPr>
          <w:rFonts w:eastAsia="方正仿宋_GBK"/>
          <w:b/>
          <w:kern w:val="0"/>
          <w:sz w:val="32"/>
          <w:szCs w:val="32"/>
        </w:rPr>
        <w:t>外部环境复杂多变。</w:t>
      </w:r>
      <w:r>
        <w:rPr>
          <w:rFonts w:eastAsia="方正仿宋_GBK"/>
          <w:bCs/>
          <w:kern w:val="0"/>
          <w:sz w:val="32"/>
          <w:szCs w:val="32"/>
        </w:rPr>
        <w:t>世纪疫情冲击下，百年变局加速演进，</w:t>
      </w:r>
      <w:r>
        <w:rPr>
          <w:rFonts w:eastAsia="方正仿宋_GBK"/>
          <w:kern w:val="0"/>
          <w:sz w:val="32"/>
          <w:szCs w:val="32"/>
        </w:rPr>
        <w:t>大国战略博弈不断加深，</w:t>
      </w:r>
      <w:r>
        <w:rPr>
          <w:rFonts w:eastAsia="方正仿宋_GBK"/>
          <w:bCs/>
          <w:kern w:val="0"/>
          <w:sz w:val="32"/>
          <w:szCs w:val="32"/>
        </w:rPr>
        <w:t>新冠疫情助长逆全球化趋势，国际航运暂停、成本上升等因素，导致海外订单减少，企业经营风险加大，全球产业链呈现内向化、区域化、分散化趋势，外部环境更趋复杂严峻和不确定。随着发达国家再工业化、低成本国家工业化进程不断加快、制造业向东南亚国家加速转移，将使大足制造业在新的产业链、价值链分工体系中面临双重竞争压力，为大足工业和信息化发展带来更大困难。</w:t>
      </w:r>
    </w:p>
    <w:p>
      <w:pPr>
        <w:spacing w:line="594" w:lineRule="exact"/>
        <w:ind w:firstLine="643" w:firstLineChars="200"/>
        <w:rPr>
          <w:rFonts w:eastAsia="方正仿宋_GBK"/>
          <w:kern w:val="0"/>
          <w:sz w:val="32"/>
          <w:szCs w:val="32"/>
        </w:rPr>
      </w:pPr>
      <w:r>
        <w:rPr>
          <w:rFonts w:eastAsia="方正仿宋_GBK"/>
          <w:b/>
          <w:kern w:val="0"/>
          <w:sz w:val="32"/>
          <w:szCs w:val="32"/>
        </w:rPr>
        <w:t>区域竞争日趋激烈。</w:t>
      </w:r>
      <w:r>
        <w:rPr>
          <w:rFonts w:eastAsia="方正仿宋_GBK"/>
          <w:bCs/>
          <w:kern w:val="0"/>
          <w:sz w:val="32"/>
          <w:szCs w:val="32"/>
        </w:rPr>
        <w:t>全市“一区两群”产业链协同发展水平仍然较低，</w:t>
      </w:r>
      <w:r>
        <w:rPr>
          <w:rFonts w:eastAsia="方正仿宋_GBK"/>
          <w:kern w:val="0"/>
          <w:sz w:val="32"/>
          <w:szCs w:val="32"/>
        </w:rPr>
        <w:t>大足与周边区县的自然资源禀赋、交通区位等条件相近，汽摩、五金等传统产业发展同质化严重，在新一代信息技术、新能源及智能网联汽车等新兴产业的招商引资过程中也存在较为激烈的竞争，大足在接受成渝两大中心城市辐射、承接产业转移等方面的竞争优势不够明显，为大足工业与信息化发展带来较大压力和挑战。</w:t>
      </w:r>
    </w:p>
    <w:p>
      <w:pPr>
        <w:spacing w:line="594" w:lineRule="exact"/>
        <w:ind w:firstLine="643" w:firstLineChars="200"/>
        <w:rPr>
          <w:rFonts w:eastAsia="方正仿宋_GBK"/>
          <w:kern w:val="0"/>
          <w:sz w:val="32"/>
          <w:szCs w:val="32"/>
        </w:rPr>
      </w:pPr>
      <w:r>
        <w:rPr>
          <w:rFonts w:eastAsia="方正仿宋_GBK"/>
          <w:b/>
          <w:kern w:val="0"/>
          <w:sz w:val="32"/>
          <w:szCs w:val="32"/>
        </w:rPr>
        <w:t>资源要素成本上升。</w:t>
      </w:r>
      <w:r>
        <w:rPr>
          <w:rFonts w:eastAsia="方正仿宋_GBK"/>
          <w:kern w:val="0"/>
          <w:sz w:val="32"/>
          <w:szCs w:val="32"/>
        </w:rPr>
        <w:t>当前支撑经济快速增长的各种要素已发生重大变化，原材料国际价格持续波动，能源、材料等生产要素成本持续上涨，土地供需矛盾日益突出，导致制造业企业生产成本不断上升。创新性、高技能人才紧缺，制造业面临成本快速上升、金融去杠杆、环保约束强化、人口老龄化等影响，技术升级和产能扩张面临不同程度的压力。</w:t>
      </w:r>
    </w:p>
    <w:p>
      <w:pPr>
        <w:spacing w:line="594" w:lineRule="exact"/>
        <w:ind w:firstLine="643" w:firstLineChars="200"/>
        <w:rPr>
          <w:rFonts w:eastAsia="方正仿宋_GBK"/>
          <w:b/>
          <w:kern w:val="0"/>
          <w:sz w:val="32"/>
          <w:szCs w:val="32"/>
        </w:rPr>
      </w:pPr>
      <w:r>
        <w:rPr>
          <w:rFonts w:eastAsia="方正仿宋_GBK"/>
          <w:b/>
          <w:kern w:val="0"/>
          <w:sz w:val="32"/>
          <w:szCs w:val="32"/>
        </w:rPr>
        <w:t>环境约束日益趋紧。</w:t>
      </w:r>
      <w:r>
        <w:rPr>
          <w:rFonts w:eastAsia="方正仿宋_GBK"/>
          <w:kern w:val="0"/>
          <w:sz w:val="32"/>
          <w:szCs w:val="32"/>
        </w:rPr>
        <w:t>环境承载能力趋紧，能耗双控要求更加严格，部分高能耗产业增长受限，在产能增长需求和能耗双控要求双重牵引下，绿色转型迫在眉睫。部分制造业企业仍停留在粗放型生产阶段，大多数企业产品附加值较低，在环境与资源约束持续强化、生产要素成本不断攀升的环境下，大足经济增长动力转换和产业结构调整面临诸多挑战。</w:t>
      </w:r>
    </w:p>
    <w:p>
      <w:pPr>
        <w:spacing w:line="594" w:lineRule="exact"/>
        <w:ind w:firstLine="640" w:firstLineChars="200"/>
        <w:rPr>
          <w:rFonts w:eastAsia="方正仿宋_GBK"/>
          <w:kern w:val="0"/>
          <w:sz w:val="32"/>
          <w:szCs w:val="32"/>
        </w:rPr>
      </w:pPr>
      <w:r>
        <w:rPr>
          <w:rFonts w:eastAsia="方正仿宋_GBK"/>
          <w:kern w:val="0"/>
          <w:sz w:val="32"/>
          <w:szCs w:val="32"/>
        </w:rPr>
        <w:t>未来五年乃至十五年，外部环境复杂严峻，大足工业和信息化发展仍面临诸多挑战，但长期向好的发展趋势不会改变，大足工业仍处在加快追赶超越的重要战略机遇期，必须紧紧抓住当前难得的战略契机，积极应对挑战，加强统筹谋划和系统推进，在危机中育先机，于变局中开新局，夯基础、补短板、强弱项、提能级，保持战略定力，全力打造特色产业高地。</w:t>
      </w:r>
    </w:p>
    <w:bookmarkEnd w:id="9"/>
    <w:p>
      <w:pPr>
        <w:widowControl/>
        <w:spacing w:line="594" w:lineRule="exact"/>
        <w:outlineLvl w:val="0"/>
        <w:rPr>
          <w:rFonts w:eastAsia="方正黑体_GBK"/>
          <w:sz w:val="32"/>
          <w:szCs w:val="32"/>
        </w:rPr>
      </w:pPr>
      <w:bookmarkStart w:id="18" w:name="_Toc106013341"/>
      <w:r>
        <w:rPr>
          <w:rFonts w:eastAsia="方正黑体_GBK"/>
          <w:sz w:val="32"/>
          <w:szCs w:val="32"/>
        </w:rPr>
        <w:t>二、总体要求</w:t>
      </w:r>
      <w:bookmarkEnd w:id="18"/>
    </w:p>
    <w:p>
      <w:pPr>
        <w:widowControl/>
        <w:spacing w:line="594" w:lineRule="exact"/>
        <w:ind w:firstLine="640" w:firstLineChars="200"/>
        <w:outlineLvl w:val="1"/>
        <w:rPr>
          <w:rFonts w:eastAsia="方正楷体_GBK"/>
          <w:sz w:val="32"/>
          <w:szCs w:val="32"/>
        </w:rPr>
      </w:pPr>
      <w:bookmarkStart w:id="19" w:name="_Toc87852605"/>
      <w:bookmarkStart w:id="20" w:name="_Toc106013342"/>
      <w:r>
        <w:rPr>
          <w:rFonts w:eastAsia="方正楷体_GBK"/>
          <w:sz w:val="32"/>
          <w:szCs w:val="32"/>
        </w:rPr>
        <w:t>（一）指导思想</w:t>
      </w:r>
      <w:bookmarkEnd w:id="19"/>
      <w:bookmarkEnd w:id="20"/>
    </w:p>
    <w:p>
      <w:pPr>
        <w:spacing w:line="594" w:lineRule="exact"/>
        <w:ind w:firstLine="640" w:firstLineChars="200"/>
        <w:rPr>
          <w:rFonts w:eastAsia="方正仿宋_GBK"/>
          <w:sz w:val="32"/>
          <w:szCs w:val="32"/>
        </w:rPr>
      </w:pPr>
      <w:r>
        <w:rPr>
          <w:rFonts w:eastAsia="方正仿宋_GBK"/>
          <w:sz w:val="32"/>
        </w:rPr>
        <w:t>以习近平新时代中国特色社会主义思想为指导，深入贯彻党的十九大和十九届历次全会精神，深入落实习近平总书记对重庆提出的营造良好政治生态，坚持“两点”定位、“两地”“两高”目标，发挥“三个作用”重要指示要求，统筹推进“五位一体”总体布局，协调推进“四个全面”战略布局，立足新发展阶段，完整、准确、全面贯彻新发展理念，积极融入和服务新发展格局，深度融入成渝地区双城经济圈建设和全市“一区两群”协调发展，围绕做好“国际文旅名城、特色产业高地、城乡融合示范”三篇大文章，</w:t>
      </w:r>
      <w:r>
        <w:rPr>
          <w:rFonts w:eastAsia="方正仿宋_GBK"/>
          <w:sz w:val="32"/>
          <w:szCs w:val="32"/>
        </w:rPr>
        <w:t>紧紧抓住全球新一轮科技革命和产业变革战略机遇，坚持以大数据智能化发展为主攻方向，坚持走新型工业化道路，着力优化产业结构、构建良好产业生态、发展先进生产方式、推进先进制造业与现代服务业深度融合、促进产业园区转型升级发展，显著提高工业质量效益和核心竞争力，全力推动特色产业高地建设，为大足加快做靓享誉世界的文化会客厅、建强链接成渝的“两高”桥头堡提供强大支撑。</w:t>
      </w:r>
    </w:p>
    <w:p>
      <w:pPr>
        <w:widowControl/>
        <w:spacing w:line="594" w:lineRule="exact"/>
        <w:ind w:firstLine="640" w:firstLineChars="200"/>
        <w:outlineLvl w:val="1"/>
        <w:rPr>
          <w:rFonts w:eastAsia="方正楷体_GBK"/>
          <w:sz w:val="32"/>
          <w:szCs w:val="32"/>
        </w:rPr>
      </w:pPr>
      <w:bookmarkStart w:id="21" w:name="_Toc106013343"/>
      <w:bookmarkStart w:id="22" w:name="_Toc87852606"/>
      <w:r>
        <w:rPr>
          <w:rFonts w:eastAsia="方正楷体_GBK"/>
          <w:sz w:val="32"/>
          <w:szCs w:val="32"/>
        </w:rPr>
        <w:t>（二）基本原则</w:t>
      </w:r>
      <w:bookmarkEnd w:id="21"/>
      <w:bookmarkEnd w:id="22"/>
    </w:p>
    <w:p>
      <w:pPr>
        <w:spacing w:line="594" w:lineRule="exact"/>
        <w:ind w:firstLine="640" w:firstLineChars="200"/>
        <w:rPr>
          <w:rFonts w:eastAsia="方正仿宋_GBK"/>
          <w:sz w:val="32"/>
        </w:rPr>
      </w:pPr>
      <w:r>
        <w:rPr>
          <w:rFonts w:eastAsia="方正仿宋_GBK"/>
          <w:sz w:val="32"/>
        </w:rPr>
        <w:t>——坚持市场主导，政府引导。充分发挥市场配置资源的基础作用和企业投资主体作用，着力优化产业发展环境，发挥政府在投融资、构建公共服务平台和完善扶持实体经济政策措施中的作用，引导各类资源向优势产业、优势企业聚集，将大企业大集团培育与促进中小企业发展有机结合，推动全区工业经济快速发展。</w:t>
      </w:r>
    </w:p>
    <w:p>
      <w:pPr>
        <w:spacing w:line="594" w:lineRule="exact"/>
        <w:ind w:firstLine="640" w:firstLineChars="200"/>
        <w:rPr>
          <w:rFonts w:eastAsia="方正仿宋_GBK"/>
          <w:sz w:val="32"/>
        </w:rPr>
      </w:pPr>
      <w:r>
        <w:rPr>
          <w:rFonts w:eastAsia="方正仿宋_GBK"/>
          <w:sz w:val="32"/>
        </w:rPr>
        <w:t>——坚持科技引领，创新驱动。深入实施创新驱动发展战略，发挥科技创新引领作用，持续完善创新载体平台建设，强化科技创新成果转化；强化数字经济赋能，加速制造业提“数”增效，提高企业智能化、数字化水平，推动工业发展由要素驱动向科技创新驱动转变。</w:t>
      </w:r>
    </w:p>
    <w:p>
      <w:pPr>
        <w:spacing w:line="594" w:lineRule="exact"/>
        <w:ind w:firstLine="640" w:firstLineChars="200"/>
        <w:rPr>
          <w:rFonts w:eastAsia="方正仿宋_GBK"/>
          <w:sz w:val="32"/>
        </w:rPr>
      </w:pPr>
      <w:r>
        <w:rPr>
          <w:rFonts w:eastAsia="方正仿宋_GBK"/>
          <w:sz w:val="32"/>
        </w:rPr>
        <w:t>——坚持调优结构，多元发展。坚持把结构调整作为工业高质量发展的关键环节，依托资源禀赋和产业基础，强化技术创新，做大做强做精传统特色产业。适应市场新需求，突出模式创新，着力培育发展新一代信息技术产业、跨界融合催生的高潜产业、智能化个性化的新兴产业。</w:t>
      </w:r>
    </w:p>
    <w:p>
      <w:pPr>
        <w:spacing w:line="594" w:lineRule="exact"/>
        <w:ind w:firstLine="640" w:firstLineChars="200"/>
        <w:rPr>
          <w:rFonts w:eastAsia="方正仿宋_GBK"/>
          <w:sz w:val="32"/>
        </w:rPr>
      </w:pPr>
      <w:r>
        <w:rPr>
          <w:rFonts w:eastAsia="方正仿宋_GBK"/>
          <w:sz w:val="32"/>
        </w:rPr>
        <w:t>——坚持生态优先，绿色发展。走绿色化、循环化、低碳化发展道路，稳步推进碳达峰、碳中和工作，创新发展模式，提高发展质量，大力发展循环经济，推进节能减排和生态环境保护，实现经济发展与人口资源环境协调可持续发展。</w:t>
      </w:r>
    </w:p>
    <w:p>
      <w:pPr>
        <w:spacing w:line="594" w:lineRule="exact"/>
        <w:ind w:firstLine="640" w:firstLineChars="200"/>
        <w:rPr>
          <w:rFonts w:eastAsia="方正仿宋_GBK"/>
          <w:sz w:val="32"/>
        </w:rPr>
      </w:pPr>
      <w:r>
        <w:rPr>
          <w:rFonts w:eastAsia="方正仿宋_GBK"/>
          <w:sz w:val="32"/>
        </w:rPr>
        <w:t>——坚持开放合作，互利共赢。坚持“引进来”和“走出去”并举，注重不断深化重点产业领域的对外合作。发挥区域重点产业发展优势，切实推进高新技术“引进来”；精准对接外部市场需求，有序引导和规范对外投资，推动优势企业、优势项目“走出去”开拓市场。</w:t>
      </w:r>
    </w:p>
    <w:p>
      <w:pPr>
        <w:widowControl/>
        <w:spacing w:line="594" w:lineRule="exact"/>
        <w:ind w:firstLine="640" w:firstLineChars="200"/>
        <w:outlineLvl w:val="1"/>
        <w:rPr>
          <w:rFonts w:eastAsia="方正楷体_GBK"/>
          <w:sz w:val="32"/>
          <w:szCs w:val="32"/>
        </w:rPr>
      </w:pPr>
      <w:bookmarkStart w:id="23" w:name="_Toc87852607"/>
      <w:bookmarkStart w:id="24" w:name="_Toc87852609"/>
      <w:bookmarkStart w:id="25" w:name="_Toc106013344"/>
      <w:r>
        <w:rPr>
          <w:rFonts w:eastAsia="方正楷体_GBK"/>
          <w:sz w:val="32"/>
          <w:szCs w:val="32"/>
        </w:rPr>
        <w:t>（三）</w:t>
      </w:r>
      <w:bookmarkEnd w:id="23"/>
      <w:r>
        <w:rPr>
          <w:rFonts w:eastAsia="方正楷体_GBK"/>
          <w:sz w:val="32"/>
          <w:szCs w:val="32"/>
        </w:rPr>
        <w:t>发展目标</w:t>
      </w:r>
      <w:bookmarkEnd w:id="24"/>
      <w:bookmarkEnd w:id="25"/>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1．总体目标</w:t>
      </w:r>
    </w:p>
    <w:p>
      <w:pPr>
        <w:spacing w:line="600" w:lineRule="exact"/>
        <w:ind w:firstLine="640" w:firstLineChars="200"/>
        <w:rPr>
          <w:rFonts w:eastAsia="方正仿宋_GBK"/>
          <w:sz w:val="32"/>
        </w:rPr>
      </w:pPr>
      <w:r>
        <w:rPr>
          <w:rFonts w:eastAsia="方正仿宋_GBK"/>
          <w:sz w:val="32"/>
        </w:rPr>
        <w:t>到2025年，全区工业发展迈上新的台阶，工业总产值突破2000亿元，规上工业总产值突破1500亿元，工业互联网体系初步形成，对制造业高质量发展有明显的促进作用，特色产业集群产业链配套协作水平进一步提高，涌现一批具有更强竞争力的国际知名企业，工业自主创新能力不断增强，营商环境持续优化。</w:t>
      </w:r>
    </w:p>
    <w:p>
      <w:pPr>
        <w:spacing w:line="600" w:lineRule="exact"/>
        <w:ind w:firstLine="640" w:firstLineChars="200"/>
        <w:rPr>
          <w:rFonts w:eastAsia="方正仿宋_GBK"/>
          <w:sz w:val="32"/>
        </w:rPr>
      </w:pPr>
      <w:r>
        <w:rPr>
          <w:rFonts w:eastAsia="方正仿宋_GBK"/>
          <w:sz w:val="32"/>
        </w:rPr>
        <w:t>到2026年，全区工业总产值突破2100亿元，规上工业总产值突破1700亿元，工业高质量发展态势进一步巩固，工业总量规模进一步壮大，工业增加值占地区生产总值比重稳步提升，产业链供应链自主可控能力明显增强，产业高端化、智能化、绿色化发展水平大幅提升，质量效益和创新能力显著提高，特色产业高地建设成效初显。</w:t>
      </w:r>
    </w:p>
    <w:p>
      <w:pPr>
        <w:spacing w:line="600" w:lineRule="exact"/>
        <w:ind w:firstLine="640" w:firstLineChars="200"/>
        <w:rPr>
          <w:rFonts w:eastAsia="方正仿宋_GBK"/>
          <w:sz w:val="32"/>
        </w:rPr>
      </w:pPr>
      <w:r>
        <w:rPr>
          <w:rFonts w:eastAsia="方正仿宋_GBK"/>
          <w:sz w:val="32"/>
        </w:rPr>
        <w:t>到2030年，全区规上工业总产值达到2200亿元，制造业数字化转型步伐明显加快，产业链韧性足，企业梯度合理，产业集群竞争力强，特色产业进入全国价值链中高端，拥有一批掌握前沿引领技术的创新型企业和若干具有生态主导力、竞争力的“链主”企业，工业领域基本实现绿色低碳发展，重点行业和重点区域绿色制造体系基本建成。</w:t>
      </w:r>
    </w:p>
    <w:p>
      <w:pPr>
        <w:spacing w:line="600" w:lineRule="exact"/>
        <w:ind w:firstLine="640" w:firstLineChars="200"/>
        <w:rPr>
          <w:rFonts w:eastAsia="方正仿宋_GBK"/>
          <w:sz w:val="32"/>
        </w:rPr>
      </w:pPr>
      <w:r>
        <w:rPr>
          <w:rFonts w:eastAsia="方正仿宋_GBK"/>
          <w:sz w:val="32"/>
        </w:rPr>
        <w:t>到2035年，全区规模以上工业总产值达到3000亿元，工业增加值达到1000亿元，年均增速达10%以上，工业增加值占GDP的比重达50%以上，制造业整体水平达到全国制造业主要集聚区平均水平，特色产业高地建设达到更高水平，产业结构更加优化，工业数字化比重显著提升，互联网、大数据、人工智能与制造业深度融合，数字工厂、绿色制造广泛应用，形成链条完整、协作配套、集聚集约、绿色高效、环境友好的现代工业体系，推动质量效益和创新能力迈上新台阶。</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2．具体目标</w:t>
      </w:r>
    </w:p>
    <w:p>
      <w:pPr>
        <w:spacing w:line="600" w:lineRule="exact"/>
        <w:ind w:firstLine="643" w:firstLineChars="200"/>
        <w:rPr>
          <w:rFonts w:eastAsia="方正仿宋_GBK"/>
          <w:sz w:val="32"/>
        </w:rPr>
      </w:pPr>
      <w:r>
        <w:rPr>
          <w:rFonts w:eastAsia="方正仿宋_GBK"/>
          <w:b/>
          <w:bCs/>
          <w:sz w:val="32"/>
        </w:rPr>
        <w:t>工业经济规模持续壮大。</w:t>
      </w:r>
      <w:r>
        <w:rPr>
          <w:rFonts w:eastAsia="方正仿宋_GBK"/>
          <w:sz w:val="32"/>
        </w:rPr>
        <w:t>到2025年，全区工业增加值达到510亿元左右，年均增长10%以上，规模以上工业增加值年均增速保持在合理区间，规模以上工业营收利润率达到13%以上。</w:t>
      </w:r>
    </w:p>
    <w:p>
      <w:pPr>
        <w:spacing w:line="600" w:lineRule="exact"/>
        <w:ind w:firstLine="643" w:firstLineChars="200"/>
        <w:rPr>
          <w:rFonts w:eastAsia="方正仿宋_GBK"/>
          <w:sz w:val="32"/>
        </w:rPr>
      </w:pPr>
      <w:r>
        <w:rPr>
          <w:rFonts w:eastAsia="方正仿宋_GBK"/>
          <w:b/>
          <w:bCs/>
          <w:sz w:val="32"/>
        </w:rPr>
        <w:t>产业结构更加优化。</w:t>
      </w:r>
      <w:r>
        <w:rPr>
          <w:rFonts w:eastAsia="方正仿宋_GBK"/>
          <w:sz w:val="32"/>
        </w:rPr>
        <w:t>到2025年，工业结构高加工度化水平大幅提升，高新技术产业产值占工业总产值比重达到32%以上，数字经济核心产业增加值占GDP比重达到4%。</w:t>
      </w:r>
    </w:p>
    <w:p>
      <w:pPr>
        <w:spacing w:line="600" w:lineRule="exact"/>
        <w:ind w:firstLine="643" w:firstLineChars="200"/>
        <w:rPr>
          <w:rFonts w:eastAsia="方正仿宋_GBK"/>
          <w:sz w:val="32"/>
        </w:rPr>
      </w:pPr>
      <w:r>
        <w:rPr>
          <w:rFonts w:eastAsia="方正仿宋_GBK"/>
          <w:b/>
          <w:bCs/>
          <w:sz w:val="32"/>
        </w:rPr>
        <w:t>创新能力持续增强。</w:t>
      </w:r>
      <w:r>
        <w:rPr>
          <w:rFonts w:eastAsia="方正仿宋_GBK"/>
          <w:sz w:val="32"/>
        </w:rPr>
        <w:t>到2025年，规模以上工业企业研发投入强度达到2.5%；国家级研发中心达到3家，企业技术中心、工业设计中心、制造业创新中心等创新机构累计数量突破130家，发明专利增长450件以上。市级企业技术中心（中小企业技术研发中心）实现行业龙头企业全覆盖。</w:t>
      </w:r>
    </w:p>
    <w:p>
      <w:pPr>
        <w:spacing w:line="600" w:lineRule="exact"/>
        <w:ind w:firstLine="643" w:firstLineChars="200"/>
        <w:rPr>
          <w:rFonts w:eastAsia="方正仿宋_GBK"/>
          <w:sz w:val="32"/>
        </w:rPr>
      </w:pPr>
      <w:r>
        <w:rPr>
          <w:rFonts w:eastAsia="方正仿宋_GBK"/>
          <w:b/>
          <w:bCs/>
          <w:sz w:val="32"/>
        </w:rPr>
        <w:t>绿色发展水平不断提升。</w:t>
      </w:r>
      <w:r>
        <w:rPr>
          <w:rFonts w:eastAsia="方正仿宋_GBK"/>
          <w:sz w:val="32"/>
        </w:rPr>
        <w:t>到2025年，工业领域能源消耗总量、污染物排放总量、碳排放总量明显下降，基本形成技术先进适用、能源梯度利用、资源接续保护、生态环境友好的产业绿色发展体系。全区规模以上万元工业增加值能耗进一步下降，新增国家级绿色园区1个、市级绿色园区1个、国家级绿色工厂3家、市级绿色工厂7家、清洁生产企业30家以上。</w:t>
      </w:r>
    </w:p>
    <w:p>
      <w:pPr>
        <w:spacing w:line="600" w:lineRule="exact"/>
        <w:ind w:firstLine="643" w:firstLineChars="200"/>
        <w:rPr>
          <w:rFonts w:eastAsia="方正仿宋_GBK"/>
          <w:sz w:val="32"/>
        </w:rPr>
      </w:pPr>
      <w:r>
        <w:rPr>
          <w:rFonts w:eastAsia="方正仿宋_GBK"/>
          <w:b/>
          <w:bCs/>
          <w:sz w:val="32"/>
        </w:rPr>
        <w:t>产业集群发展能级显著提升。</w:t>
      </w:r>
      <w:r>
        <w:rPr>
          <w:rFonts w:eastAsia="方正仿宋_GBK"/>
          <w:sz w:val="32"/>
        </w:rPr>
        <w:t>到2025年，特色产业集群产值超过1800亿元，其中规上工业总产值达到1400亿元。培育形成五金制品、家居建材、专用车、摩托车、电梯、光电、节能环保、再生金属、雕塑艺术、高端石材、农产品加工等一批百亿级特色产业链，产业链配套体系进一步健全，产品附加值持续提高，总量规模持续壮大。</w:t>
      </w:r>
    </w:p>
    <w:p>
      <w:pPr>
        <w:spacing w:line="600" w:lineRule="exact"/>
        <w:jc w:val="center"/>
        <w:rPr>
          <w:rFonts w:eastAsia="方正仿宋_GBK"/>
          <w:b/>
          <w:bCs/>
          <w:sz w:val="28"/>
          <w:szCs w:val="21"/>
        </w:rPr>
      </w:pPr>
      <w:r>
        <w:rPr>
          <w:rFonts w:eastAsia="方正仿宋_GBK"/>
          <w:b/>
          <w:bCs/>
          <w:sz w:val="28"/>
          <w:szCs w:val="21"/>
        </w:rPr>
        <w:t>表2  工业和信息化发展目标表</w:t>
      </w:r>
    </w:p>
    <w:tbl>
      <w:tblPr>
        <w:tblStyle w:val="9"/>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585"/>
        <w:gridCol w:w="3873"/>
        <w:gridCol w:w="842"/>
        <w:gridCol w:w="969"/>
        <w:gridCol w:w="939"/>
        <w:gridCol w:w="1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blHeader/>
          <w:jc w:val="center"/>
        </w:trPr>
        <w:tc>
          <w:tcPr>
            <w:tcW w:w="842" w:type="dxa"/>
            <w:vMerge w:val="restart"/>
            <w:vAlign w:val="center"/>
          </w:tcPr>
          <w:p>
            <w:pPr>
              <w:widowControl/>
              <w:spacing w:line="300" w:lineRule="exact"/>
              <w:jc w:val="center"/>
              <w:rPr>
                <w:b/>
                <w:bCs/>
                <w:kern w:val="0"/>
                <w:sz w:val="24"/>
                <w:szCs w:val="24"/>
              </w:rPr>
            </w:pPr>
            <w:r>
              <w:rPr>
                <w:rFonts w:eastAsia="方正仿宋_GBK"/>
                <w:b/>
                <w:bCs/>
                <w:kern w:val="0"/>
                <w:sz w:val="24"/>
                <w:szCs w:val="24"/>
              </w:rPr>
              <w:t>指标分类</w:t>
            </w:r>
          </w:p>
        </w:tc>
        <w:tc>
          <w:tcPr>
            <w:tcW w:w="585" w:type="dxa"/>
            <w:vMerge w:val="restart"/>
            <w:vAlign w:val="center"/>
          </w:tcPr>
          <w:p>
            <w:pPr>
              <w:widowControl/>
              <w:spacing w:line="300" w:lineRule="exact"/>
              <w:jc w:val="center"/>
              <w:rPr>
                <w:b/>
                <w:bCs/>
                <w:kern w:val="0"/>
                <w:sz w:val="24"/>
                <w:szCs w:val="24"/>
              </w:rPr>
            </w:pPr>
            <w:r>
              <w:rPr>
                <w:rFonts w:eastAsia="方正仿宋_GBK"/>
                <w:b/>
                <w:bCs/>
                <w:kern w:val="0"/>
                <w:sz w:val="24"/>
                <w:szCs w:val="24"/>
              </w:rPr>
              <w:t>序号</w:t>
            </w:r>
          </w:p>
        </w:tc>
        <w:tc>
          <w:tcPr>
            <w:tcW w:w="3873" w:type="dxa"/>
            <w:vMerge w:val="restart"/>
            <w:vAlign w:val="center"/>
          </w:tcPr>
          <w:p>
            <w:pPr>
              <w:widowControl/>
              <w:spacing w:line="300" w:lineRule="exact"/>
              <w:jc w:val="center"/>
              <w:rPr>
                <w:b/>
                <w:bCs/>
                <w:kern w:val="0"/>
                <w:sz w:val="24"/>
                <w:szCs w:val="24"/>
              </w:rPr>
            </w:pPr>
            <w:r>
              <w:rPr>
                <w:rFonts w:eastAsia="方正仿宋_GBK"/>
                <w:b/>
                <w:bCs/>
                <w:kern w:val="0"/>
                <w:sz w:val="24"/>
                <w:szCs w:val="24"/>
              </w:rPr>
              <w:t>指标名称</w:t>
            </w:r>
          </w:p>
        </w:tc>
        <w:tc>
          <w:tcPr>
            <w:tcW w:w="842" w:type="dxa"/>
            <w:vMerge w:val="restart"/>
            <w:vAlign w:val="center"/>
          </w:tcPr>
          <w:p>
            <w:pPr>
              <w:widowControl/>
              <w:spacing w:line="300" w:lineRule="exact"/>
              <w:jc w:val="center"/>
              <w:rPr>
                <w:b/>
                <w:bCs/>
                <w:kern w:val="0"/>
                <w:sz w:val="24"/>
                <w:szCs w:val="24"/>
              </w:rPr>
            </w:pPr>
            <w:r>
              <w:rPr>
                <w:rFonts w:eastAsia="方正仿宋_GBK"/>
                <w:b/>
                <w:bCs/>
                <w:kern w:val="0"/>
                <w:sz w:val="24"/>
                <w:szCs w:val="24"/>
              </w:rPr>
              <w:t>指标属性</w:t>
            </w:r>
          </w:p>
        </w:tc>
        <w:tc>
          <w:tcPr>
            <w:tcW w:w="969" w:type="dxa"/>
            <w:vMerge w:val="restart"/>
            <w:vAlign w:val="center"/>
          </w:tcPr>
          <w:p>
            <w:pPr>
              <w:widowControl/>
              <w:spacing w:line="300" w:lineRule="exact"/>
              <w:jc w:val="center"/>
              <w:rPr>
                <w:b/>
                <w:bCs/>
                <w:kern w:val="0"/>
                <w:sz w:val="24"/>
                <w:szCs w:val="24"/>
              </w:rPr>
            </w:pPr>
            <w:r>
              <w:rPr>
                <w:b/>
                <w:bCs/>
                <w:kern w:val="0"/>
                <w:sz w:val="24"/>
                <w:szCs w:val="24"/>
              </w:rPr>
              <w:t>2020</w:t>
            </w:r>
            <w:r>
              <w:rPr>
                <w:rFonts w:eastAsia="方正仿宋_GBK"/>
                <w:b/>
                <w:bCs/>
                <w:kern w:val="0"/>
                <w:sz w:val="24"/>
                <w:szCs w:val="24"/>
              </w:rPr>
              <w:t>年</w:t>
            </w:r>
          </w:p>
        </w:tc>
        <w:tc>
          <w:tcPr>
            <w:tcW w:w="2119" w:type="dxa"/>
            <w:gridSpan w:val="2"/>
            <w:vAlign w:val="center"/>
          </w:tcPr>
          <w:p>
            <w:pPr>
              <w:widowControl/>
              <w:spacing w:line="300" w:lineRule="exact"/>
              <w:jc w:val="center"/>
              <w:rPr>
                <w:b/>
                <w:bCs/>
                <w:kern w:val="0"/>
                <w:sz w:val="24"/>
                <w:szCs w:val="24"/>
              </w:rPr>
            </w:pPr>
            <w:r>
              <w:rPr>
                <w:b/>
                <w:bCs/>
                <w:kern w:val="0"/>
                <w:sz w:val="24"/>
                <w:szCs w:val="24"/>
              </w:rPr>
              <w:t>2025</w:t>
            </w:r>
            <w:r>
              <w:rPr>
                <w:rFonts w:eastAsia="方正仿宋_GBK"/>
                <w:b/>
                <w:bCs/>
                <w:kern w:val="0"/>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blHeader/>
          <w:jc w:val="center"/>
        </w:trPr>
        <w:tc>
          <w:tcPr>
            <w:tcW w:w="842" w:type="dxa"/>
            <w:vMerge w:val="continue"/>
            <w:vAlign w:val="center"/>
          </w:tcPr>
          <w:p>
            <w:pPr>
              <w:widowControl/>
              <w:spacing w:line="300" w:lineRule="exact"/>
              <w:jc w:val="left"/>
              <w:rPr>
                <w:b/>
                <w:bCs/>
                <w:kern w:val="0"/>
                <w:sz w:val="24"/>
                <w:szCs w:val="24"/>
              </w:rPr>
            </w:pPr>
          </w:p>
        </w:tc>
        <w:tc>
          <w:tcPr>
            <w:tcW w:w="585" w:type="dxa"/>
            <w:vMerge w:val="continue"/>
            <w:vAlign w:val="center"/>
          </w:tcPr>
          <w:p>
            <w:pPr>
              <w:widowControl/>
              <w:spacing w:line="300" w:lineRule="exact"/>
              <w:jc w:val="left"/>
              <w:rPr>
                <w:b/>
                <w:bCs/>
                <w:kern w:val="0"/>
                <w:sz w:val="24"/>
                <w:szCs w:val="24"/>
              </w:rPr>
            </w:pPr>
          </w:p>
        </w:tc>
        <w:tc>
          <w:tcPr>
            <w:tcW w:w="3873" w:type="dxa"/>
            <w:vMerge w:val="continue"/>
            <w:vAlign w:val="center"/>
          </w:tcPr>
          <w:p>
            <w:pPr>
              <w:widowControl/>
              <w:spacing w:line="300" w:lineRule="exact"/>
              <w:jc w:val="left"/>
              <w:rPr>
                <w:b/>
                <w:bCs/>
                <w:kern w:val="0"/>
                <w:sz w:val="24"/>
                <w:szCs w:val="24"/>
              </w:rPr>
            </w:pPr>
          </w:p>
        </w:tc>
        <w:tc>
          <w:tcPr>
            <w:tcW w:w="842" w:type="dxa"/>
            <w:vMerge w:val="continue"/>
            <w:vAlign w:val="center"/>
          </w:tcPr>
          <w:p>
            <w:pPr>
              <w:widowControl/>
              <w:spacing w:line="300" w:lineRule="exact"/>
              <w:jc w:val="left"/>
              <w:rPr>
                <w:b/>
                <w:bCs/>
                <w:kern w:val="0"/>
                <w:sz w:val="24"/>
                <w:szCs w:val="24"/>
              </w:rPr>
            </w:pPr>
          </w:p>
        </w:tc>
        <w:tc>
          <w:tcPr>
            <w:tcW w:w="969" w:type="dxa"/>
            <w:vMerge w:val="continue"/>
            <w:vAlign w:val="center"/>
          </w:tcPr>
          <w:p>
            <w:pPr>
              <w:widowControl/>
              <w:spacing w:line="300" w:lineRule="exact"/>
              <w:jc w:val="left"/>
              <w:rPr>
                <w:b/>
                <w:bCs/>
                <w:kern w:val="0"/>
                <w:sz w:val="24"/>
                <w:szCs w:val="24"/>
              </w:rPr>
            </w:pPr>
          </w:p>
        </w:tc>
        <w:tc>
          <w:tcPr>
            <w:tcW w:w="939" w:type="dxa"/>
            <w:vAlign w:val="center"/>
          </w:tcPr>
          <w:p>
            <w:pPr>
              <w:widowControl/>
              <w:spacing w:line="300" w:lineRule="exact"/>
              <w:jc w:val="center"/>
              <w:rPr>
                <w:b/>
                <w:bCs/>
                <w:kern w:val="0"/>
                <w:sz w:val="24"/>
                <w:szCs w:val="24"/>
              </w:rPr>
            </w:pPr>
            <w:r>
              <w:rPr>
                <w:rFonts w:eastAsia="方正仿宋_GBK"/>
                <w:b/>
                <w:bCs/>
                <w:kern w:val="0"/>
                <w:sz w:val="24"/>
                <w:szCs w:val="24"/>
              </w:rPr>
              <w:t>绝对值</w:t>
            </w:r>
          </w:p>
        </w:tc>
        <w:tc>
          <w:tcPr>
            <w:tcW w:w="1180" w:type="dxa"/>
            <w:vAlign w:val="center"/>
          </w:tcPr>
          <w:p>
            <w:pPr>
              <w:widowControl/>
              <w:spacing w:line="300" w:lineRule="exact"/>
              <w:jc w:val="center"/>
              <w:rPr>
                <w:b/>
                <w:bCs/>
                <w:kern w:val="0"/>
                <w:sz w:val="24"/>
                <w:szCs w:val="24"/>
              </w:rPr>
            </w:pPr>
            <w:r>
              <w:rPr>
                <w:rFonts w:eastAsia="方正仿宋_GBK"/>
                <w:b/>
                <w:bCs/>
                <w:kern w:val="0"/>
                <w:sz w:val="24"/>
                <w:szCs w:val="24"/>
              </w:rPr>
              <w:t>年均增速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Merge w:val="restart"/>
            <w:vAlign w:val="center"/>
          </w:tcPr>
          <w:p>
            <w:pPr>
              <w:widowControl/>
              <w:spacing w:line="300" w:lineRule="exact"/>
              <w:jc w:val="center"/>
              <w:rPr>
                <w:kern w:val="0"/>
                <w:sz w:val="24"/>
                <w:szCs w:val="24"/>
              </w:rPr>
            </w:pPr>
            <w:r>
              <w:rPr>
                <w:rFonts w:eastAsia="方正仿宋_GBK"/>
                <w:kern w:val="0"/>
                <w:sz w:val="24"/>
                <w:szCs w:val="24"/>
              </w:rPr>
              <w:t>总量结构</w:t>
            </w:r>
          </w:p>
        </w:tc>
        <w:tc>
          <w:tcPr>
            <w:tcW w:w="585" w:type="dxa"/>
            <w:vAlign w:val="center"/>
          </w:tcPr>
          <w:p>
            <w:pPr>
              <w:widowControl/>
              <w:spacing w:line="300" w:lineRule="exact"/>
              <w:jc w:val="center"/>
              <w:rPr>
                <w:kern w:val="0"/>
                <w:sz w:val="24"/>
                <w:szCs w:val="24"/>
              </w:rPr>
            </w:pPr>
            <w:r>
              <w:rPr>
                <w:kern w:val="0"/>
                <w:sz w:val="24"/>
                <w:szCs w:val="24"/>
              </w:rPr>
              <w:t>1</w:t>
            </w:r>
          </w:p>
        </w:tc>
        <w:tc>
          <w:tcPr>
            <w:tcW w:w="3873" w:type="dxa"/>
            <w:vAlign w:val="center"/>
          </w:tcPr>
          <w:p>
            <w:pPr>
              <w:widowControl/>
              <w:spacing w:line="300" w:lineRule="exact"/>
              <w:jc w:val="left"/>
              <w:rPr>
                <w:kern w:val="0"/>
                <w:sz w:val="24"/>
                <w:szCs w:val="24"/>
              </w:rPr>
            </w:pPr>
            <w:r>
              <w:rPr>
                <w:rFonts w:eastAsia="方正仿宋_GBK"/>
                <w:kern w:val="0"/>
                <w:sz w:val="24"/>
                <w:szCs w:val="24"/>
              </w:rPr>
              <w:t>规模以上工业总产值（亿元）</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673.9</w:t>
            </w:r>
          </w:p>
        </w:tc>
        <w:tc>
          <w:tcPr>
            <w:tcW w:w="939" w:type="dxa"/>
            <w:vAlign w:val="center"/>
          </w:tcPr>
          <w:p>
            <w:pPr>
              <w:widowControl/>
              <w:spacing w:line="300" w:lineRule="exact"/>
              <w:jc w:val="center"/>
              <w:rPr>
                <w:kern w:val="0"/>
                <w:sz w:val="24"/>
                <w:szCs w:val="24"/>
              </w:rPr>
            </w:pPr>
            <w:r>
              <w:rPr>
                <w:kern w:val="0"/>
                <w:sz w:val="24"/>
                <w:szCs w:val="24"/>
              </w:rPr>
              <w:t>1500</w:t>
            </w:r>
          </w:p>
        </w:tc>
        <w:tc>
          <w:tcPr>
            <w:tcW w:w="1180" w:type="dxa"/>
            <w:vAlign w:val="center"/>
          </w:tcPr>
          <w:p>
            <w:pPr>
              <w:widowControl/>
              <w:spacing w:line="300" w:lineRule="exact"/>
              <w:jc w:val="center"/>
              <w:rPr>
                <w:kern w:val="0"/>
                <w:sz w:val="24"/>
                <w:szCs w:val="24"/>
              </w:rPr>
            </w:pPr>
            <w:r>
              <w:rPr>
                <w:kern w:val="0"/>
                <w:sz w:val="24"/>
                <w:szCs w:val="24"/>
              </w:rPr>
              <w:t>17.35%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Merge w:val="continue"/>
            <w:vAlign w:val="center"/>
          </w:tcPr>
          <w:p>
            <w:pPr>
              <w:widowControl/>
              <w:spacing w:line="300" w:lineRule="exact"/>
              <w:jc w:val="left"/>
              <w:rPr>
                <w:kern w:val="0"/>
                <w:sz w:val="24"/>
                <w:szCs w:val="24"/>
              </w:rPr>
            </w:pPr>
          </w:p>
        </w:tc>
        <w:tc>
          <w:tcPr>
            <w:tcW w:w="585" w:type="dxa"/>
            <w:vAlign w:val="center"/>
          </w:tcPr>
          <w:p>
            <w:pPr>
              <w:widowControl/>
              <w:spacing w:line="300" w:lineRule="exact"/>
              <w:jc w:val="center"/>
              <w:rPr>
                <w:kern w:val="0"/>
                <w:sz w:val="24"/>
                <w:szCs w:val="24"/>
              </w:rPr>
            </w:pPr>
            <w:r>
              <w:rPr>
                <w:kern w:val="0"/>
                <w:sz w:val="24"/>
                <w:szCs w:val="24"/>
              </w:rPr>
              <w:t>2</w:t>
            </w:r>
          </w:p>
        </w:tc>
        <w:tc>
          <w:tcPr>
            <w:tcW w:w="3873" w:type="dxa"/>
            <w:vAlign w:val="center"/>
          </w:tcPr>
          <w:p>
            <w:pPr>
              <w:widowControl/>
              <w:spacing w:line="300" w:lineRule="exact"/>
              <w:jc w:val="left"/>
              <w:rPr>
                <w:kern w:val="0"/>
                <w:sz w:val="24"/>
                <w:szCs w:val="24"/>
              </w:rPr>
            </w:pPr>
            <w:r>
              <w:rPr>
                <w:rFonts w:eastAsia="方正仿宋_GBK"/>
                <w:kern w:val="0"/>
                <w:sz w:val="24"/>
                <w:szCs w:val="24"/>
              </w:rPr>
              <w:t>其中：战略性新兴产业产值占比（</w:t>
            </w:r>
            <w:r>
              <w:rPr>
                <w:kern w:val="0"/>
                <w:sz w:val="24"/>
                <w:szCs w:val="24"/>
              </w:rPr>
              <w:t>%</w:t>
            </w:r>
            <w:r>
              <w:rPr>
                <w:rFonts w:eastAsia="方正仿宋_GBK"/>
                <w:kern w:val="0"/>
                <w:sz w:val="24"/>
                <w:szCs w:val="24"/>
              </w:rPr>
              <w:t>）</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14.5</w:t>
            </w:r>
          </w:p>
        </w:tc>
        <w:tc>
          <w:tcPr>
            <w:tcW w:w="939" w:type="dxa"/>
            <w:vAlign w:val="center"/>
          </w:tcPr>
          <w:p>
            <w:pPr>
              <w:widowControl/>
              <w:spacing w:line="300" w:lineRule="exact"/>
              <w:jc w:val="center"/>
              <w:rPr>
                <w:kern w:val="0"/>
                <w:sz w:val="24"/>
                <w:szCs w:val="24"/>
              </w:rPr>
            </w:pPr>
            <w:r>
              <w:rPr>
                <w:kern w:val="0"/>
                <w:sz w:val="24"/>
                <w:szCs w:val="24"/>
              </w:rPr>
              <w:t>35</w:t>
            </w:r>
          </w:p>
        </w:tc>
        <w:tc>
          <w:tcPr>
            <w:tcW w:w="1180" w:type="dxa"/>
            <w:vAlign w:val="center"/>
          </w:tcPr>
          <w:p>
            <w:pPr>
              <w:widowControl/>
              <w:spacing w:line="300" w:lineRule="exact"/>
              <w:jc w:val="center"/>
              <w:rPr>
                <w:kern w:val="0"/>
                <w:sz w:val="24"/>
                <w:szCs w:val="24"/>
              </w:rPr>
            </w:pPr>
            <w:r>
              <w:rPr>
                <w:kern w:val="0"/>
                <w:sz w:val="24"/>
                <w:szCs w:val="24"/>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Merge w:val="continue"/>
            <w:vAlign w:val="center"/>
          </w:tcPr>
          <w:p>
            <w:pPr>
              <w:widowControl/>
              <w:spacing w:line="300" w:lineRule="exact"/>
              <w:jc w:val="left"/>
              <w:rPr>
                <w:kern w:val="0"/>
                <w:sz w:val="24"/>
                <w:szCs w:val="24"/>
              </w:rPr>
            </w:pPr>
          </w:p>
        </w:tc>
        <w:tc>
          <w:tcPr>
            <w:tcW w:w="585" w:type="dxa"/>
            <w:vAlign w:val="center"/>
          </w:tcPr>
          <w:p>
            <w:pPr>
              <w:widowControl/>
              <w:spacing w:line="300" w:lineRule="exact"/>
              <w:jc w:val="center"/>
              <w:rPr>
                <w:kern w:val="0"/>
                <w:sz w:val="24"/>
                <w:szCs w:val="24"/>
              </w:rPr>
            </w:pPr>
            <w:r>
              <w:rPr>
                <w:kern w:val="0"/>
                <w:sz w:val="24"/>
                <w:szCs w:val="24"/>
              </w:rPr>
              <w:t>3</w:t>
            </w:r>
          </w:p>
        </w:tc>
        <w:tc>
          <w:tcPr>
            <w:tcW w:w="3873" w:type="dxa"/>
            <w:vAlign w:val="center"/>
          </w:tcPr>
          <w:p>
            <w:pPr>
              <w:widowControl/>
              <w:spacing w:line="300" w:lineRule="exact"/>
              <w:jc w:val="left"/>
              <w:rPr>
                <w:kern w:val="0"/>
                <w:sz w:val="24"/>
                <w:szCs w:val="24"/>
              </w:rPr>
            </w:pPr>
            <w:r>
              <w:rPr>
                <w:rFonts w:eastAsia="方正仿宋_GBK"/>
                <w:kern w:val="0"/>
                <w:sz w:val="24"/>
                <w:szCs w:val="24"/>
              </w:rPr>
              <w:t>工业增加值（亿元）</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262.3</w:t>
            </w:r>
          </w:p>
        </w:tc>
        <w:tc>
          <w:tcPr>
            <w:tcW w:w="939" w:type="dxa"/>
            <w:vAlign w:val="center"/>
          </w:tcPr>
          <w:p>
            <w:pPr>
              <w:widowControl/>
              <w:spacing w:line="300" w:lineRule="exact"/>
              <w:jc w:val="center"/>
              <w:rPr>
                <w:kern w:val="0"/>
                <w:sz w:val="24"/>
                <w:szCs w:val="24"/>
              </w:rPr>
            </w:pPr>
            <w:r>
              <w:rPr>
                <w:kern w:val="0"/>
                <w:sz w:val="24"/>
                <w:szCs w:val="24"/>
              </w:rPr>
              <w:t>510</w:t>
            </w:r>
          </w:p>
        </w:tc>
        <w:tc>
          <w:tcPr>
            <w:tcW w:w="1180" w:type="dxa"/>
            <w:vAlign w:val="center"/>
          </w:tcPr>
          <w:p>
            <w:pPr>
              <w:widowControl/>
              <w:spacing w:line="300" w:lineRule="exact"/>
              <w:jc w:val="center"/>
              <w:rPr>
                <w:kern w:val="0"/>
                <w:sz w:val="24"/>
                <w:szCs w:val="24"/>
              </w:rPr>
            </w:pPr>
            <w:r>
              <w:rPr>
                <w:kern w:val="0"/>
                <w:sz w:val="24"/>
                <w:szCs w:val="24"/>
              </w:rPr>
              <w:t>10%</w:t>
            </w:r>
            <w:r>
              <w:rPr>
                <w:rFonts w:eastAsia="方正仿宋_GBK"/>
                <w:kern w:val="0"/>
                <w:sz w:val="24"/>
                <w:szCs w:val="24"/>
              </w:rPr>
              <w:t>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Merge w:val="restart"/>
            <w:vAlign w:val="center"/>
          </w:tcPr>
          <w:p>
            <w:pPr>
              <w:widowControl/>
              <w:spacing w:line="300" w:lineRule="exact"/>
              <w:jc w:val="center"/>
              <w:rPr>
                <w:kern w:val="0"/>
                <w:sz w:val="24"/>
                <w:szCs w:val="24"/>
              </w:rPr>
            </w:pPr>
            <w:r>
              <w:rPr>
                <w:rFonts w:eastAsia="方正仿宋_GBK"/>
                <w:kern w:val="0"/>
                <w:sz w:val="24"/>
                <w:szCs w:val="24"/>
              </w:rPr>
              <w:t>综合效益</w:t>
            </w:r>
          </w:p>
        </w:tc>
        <w:tc>
          <w:tcPr>
            <w:tcW w:w="585" w:type="dxa"/>
            <w:vAlign w:val="center"/>
          </w:tcPr>
          <w:p>
            <w:pPr>
              <w:widowControl/>
              <w:spacing w:line="300" w:lineRule="exact"/>
              <w:jc w:val="center"/>
              <w:rPr>
                <w:kern w:val="0"/>
                <w:sz w:val="24"/>
                <w:szCs w:val="24"/>
              </w:rPr>
            </w:pPr>
            <w:r>
              <w:rPr>
                <w:kern w:val="0"/>
                <w:sz w:val="24"/>
                <w:szCs w:val="24"/>
              </w:rPr>
              <w:t>4</w:t>
            </w:r>
          </w:p>
        </w:tc>
        <w:tc>
          <w:tcPr>
            <w:tcW w:w="3873" w:type="dxa"/>
            <w:vAlign w:val="center"/>
          </w:tcPr>
          <w:p>
            <w:pPr>
              <w:widowControl/>
              <w:spacing w:line="300" w:lineRule="exact"/>
              <w:jc w:val="left"/>
              <w:rPr>
                <w:kern w:val="0"/>
                <w:sz w:val="24"/>
                <w:szCs w:val="24"/>
              </w:rPr>
            </w:pPr>
            <w:r>
              <w:rPr>
                <w:rFonts w:eastAsia="方正仿宋_GBK"/>
                <w:kern w:val="0"/>
                <w:sz w:val="24"/>
                <w:szCs w:val="24"/>
              </w:rPr>
              <w:t>规模以上工业企业数量（家）</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358</w:t>
            </w:r>
          </w:p>
        </w:tc>
        <w:tc>
          <w:tcPr>
            <w:tcW w:w="939" w:type="dxa"/>
            <w:vAlign w:val="center"/>
          </w:tcPr>
          <w:p>
            <w:pPr>
              <w:widowControl/>
              <w:spacing w:line="300" w:lineRule="exact"/>
              <w:jc w:val="center"/>
              <w:rPr>
                <w:kern w:val="0"/>
                <w:sz w:val="24"/>
                <w:szCs w:val="24"/>
              </w:rPr>
            </w:pPr>
            <w:r>
              <w:rPr>
                <w:kern w:val="0"/>
                <w:sz w:val="24"/>
                <w:szCs w:val="24"/>
              </w:rPr>
              <w:t>450</w:t>
            </w:r>
          </w:p>
        </w:tc>
        <w:tc>
          <w:tcPr>
            <w:tcW w:w="1180" w:type="dxa"/>
            <w:vAlign w:val="center"/>
          </w:tcPr>
          <w:p>
            <w:pPr>
              <w:widowControl/>
              <w:spacing w:line="300" w:lineRule="exact"/>
              <w:jc w:val="center"/>
              <w:rPr>
                <w:kern w:val="0"/>
                <w:sz w:val="24"/>
                <w:szCs w:val="24"/>
              </w:rPr>
            </w:pPr>
            <w:r>
              <w:rPr>
                <w:kern w:val="0"/>
                <w:sz w:val="24"/>
                <w:szCs w:val="24"/>
              </w:rPr>
              <w:t>4.68%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Merge w:val="continue"/>
            <w:vAlign w:val="center"/>
          </w:tcPr>
          <w:p>
            <w:pPr>
              <w:widowControl/>
              <w:spacing w:line="300" w:lineRule="exact"/>
              <w:jc w:val="left"/>
              <w:rPr>
                <w:kern w:val="0"/>
                <w:sz w:val="24"/>
                <w:szCs w:val="24"/>
              </w:rPr>
            </w:pPr>
          </w:p>
        </w:tc>
        <w:tc>
          <w:tcPr>
            <w:tcW w:w="585" w:type="dxa"/>
            <w:vAlign w:val="center"/>
          </w:tcPr>
          <w:p>
            <w:pPr>
              <w:widowControl/>
              <w:spacing w:line="300" w:lineRule="exact"/>
              <w:jc w:val="center"/>
              <w:rPr>
                <w:kern w:val="0"/>
                <w:sz w:val="24"/>
                <w:szCs w:val="24"/>
              </w:rPr>
            </w:pPr>
            <w:r>
              <w:rPr>
                <w:kern w:val="0"/>
                <w:sz w:val="24"/>
                <w:szCs w:val="24"/>
              </w:rPr>
              <w:t>5</w:t>
            </w:r>
          </w:p>
        </w:tc>
        <w:tc>
          <w:tcPr>
            <w:tcW w:w="3873" w:type="dxa"/>
            <w:vAlign w:val="center"/>
          </w:tcPr>
          <w:p>
            <w:pPr>
              <w:widowControl/>
              <w:spacing w:line="300" w:lineRule="exact"/>
              <w:jc w:val="left"/>
              <w:rPr>
                <w:kern w:val="0"/>
                <w:sz w:val="24"/>
                <w:szCs w:val="24"/>
              </w:rPr>
            </w:pPr>
            <w:r>
              <w:rPr>
                <w:rFonts w:eastAsia="方正仿宋_GBK"/>
                <w:kern w:val="0"/>
                <w:sz w:val="24"/>
                <w:szCs w:val="24"/>
              </w:rPr>
              <w:t>规模以上工业企业营业收入利润率（</w:t>
            </w:r>
            <w:r>
              <w:rPr>
                <w:kern w:val="0"/>
                <w:sz w:val="24"/>
                <w:szCs w:val="24"/>
              </w:rPr>
              <w:t>%</w:t>
            </w:r>
            <w:r>
              <w:rPr>
                <w:rFonts w:eastAsia="方正仿宋_GBK"/>
                <w:kern w:val="0"/>
                <w:sz w:val="24"/>
                <w:szCs w:val="24"/>
              </w:rPr>
              <w:t>）</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10.5</w:t>
            </w:r>
          </w:p>
        </w:tc>
        <w:tc>
          <w:tcPr>
            <w:tcW w:w="939" w:type="dxa"/>
            <w:vAlign w:val="center"/>
          </w:tcPr>
          <w:p>
            <w:pPr>
              <w:widowControl/>
              <w:spacing w:line="300" w:lineRule="exact"/>
              <w:jc w:val="center"/>
              <w:rPr>
                <w:kern w:val="0"/>
                <w:sz w:val="24"/>
                <w:szCs w:val="24"/>
              </w:rPr>
            </w:pPr>
            <w:r>
              <w:rPr>
                <w:kern w:val="0"/>
                <w:sz w:val="24"/>
                <w:szCs w:val="24"/>
              </w:rPr>
              <w:t>13</w:t>
            </w:r>
          </w:p>
        </w:tc>
        <w:tc>
          <w:tcPr>
            <w:tcW w:w="1180" w:type="dxa"/>
            <w:vAlign w:val="center"/>
          </w:tcPr>
          <w:p>
            <w:pPr>
              <w:widowControl/>
              <w:spacing w:line="300" w:lineRule="exact"/>
              <w:jc w:val="center"/>
              <w:rPr>
                <w:kern w:val="0"/>
                <w:sz w:val="24"/>
                <w:szCs w:val="24"/>
              </w:rPr>
            </w:pPr>
            <w:r>
              <w:rPr>
                <w:kern w:val="0"/>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842" w:type="dxa"/>
            <w:vMerge w:val="continue"/>
            <w:vAlign w:val="center"/>
          </w:tcPr>
          <w:p>
            <w:pPr>
              <w:widowControl/>
              <w:spacing w:line="300" w:lineRule="exact"/>
              <w:jc w:val="left"/>
              <w:rPr>
                <w:kern w:val="0"/>
                <w:sz w:val="24"/>
                <w:szCs w:val="24"/>
              </w:rPr>
            </w:pPr>
          </w:p>
        </w:tc>
        <w:tc>
          <w:tcPr>
            <w:tcW w:w="585" w:type="dxa"/>
            <w:vAlign w:val="center"/>
          </w:tcPr>
          <w:p>
            <w:pPr>
              <w:widowControl/>
              <w:spacing w:line="300" w:lineRule="exact"/>
              <w:jc w:val="center"/>
              <w:rPr>
                <w:kern w:val="0"/>
                <w:sz w:val="24"/>
                <w:szCs w:val="24"/>
              </w:rPr>
            </w:pPr>
            <w:r>
              <w:rPr>
                <w:kern w:val="0"/>
                <w:sz w:val="24"/>
                <w:szCs w:val="24"/>
              </w:rPr>
              <w:t>6</w:t>
            </w:r>
          </w:p>
        </w:tc>
        <w:tc>
          <w:tcPr>
            <w:tcW w:w="3873" w:type="dxa"/>
            <w:vAlign w:val="center"/>
          </w:tcPr>
          <w:p>
            <w:pPr>
              <w:widowControl/>
              <w:spacing w:line="300" w:lineRule="exact"/>
              <w:jc w:val="left"/>
              <w:rPr>
                <w:kern w:val="0"/>
                <w:sz w:val="24"/>
                <w:szCs w:val="24"/>
              </w:rPr>
            </w:pPr>
            <w:r>
              <w:rPr>
                <w:rFonts w:eastAsia="方正仿宋_GBK"/>
                <w:kern w:val="0"/>
                <w:sz w:val="24"/>
                <w:szCs w:val="24"/>
              </w:rPr>
              <w:t>园区规模工业用地产出强度（亿元</w:t>
            </w:r>
            <w:r>
              <w:rPr>
                <w:kern w:val="0"/>
                <w:sz w:val="24"/>
                <w:szCs w:val="24"/>
              </w:rPr>
              <w:t>/</w:t>
            </w:r>
            <w:r>
              <w:rPr>
                <w:rFonts w:eastAsia="方正仿宋_GBK"/>
                <w:kern w:val="0"/>
                <w:sz w:val="24"/>
                <w:szCs w:val="24"/>
              </w:rPr>
              <w:t>平方公里）</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88</w:t>
            </w:r>
          </w:p>
        </w:tc>
        <w:tc>
          <w:tcPr>
            <w:tcW w:w="939" w:type="dxa"/>
            <w:vAlign w:val="center"/>
          </w:tcPr>
          <w:p>
            <w:pPr>
              <w:widowControl/>
              <w:spacing w:line="300" w:lineRule="exact"/>
              <w:jc w:val="center"/>
              <w:rPr>
                <w:kern w:val="0"/>
                <w:sz w:val="24"/>
                <w:szCs w:val="24"/>
              </w:rPr>
            </w:pPr>
            <w:r>
              <w:rPr>
                <w:kern w:val="0"/>
                <w:sz w:val="24"/>
                <w:szCs w:val="24"/>
              </w:rPr>
              <w:t>96</w:t>
            </w:r>
          </w:p>
        </w:tc>
        <w:tc>
          <w:tcPr>
            <w:tcW w:w="1180" w:type="dxa"/>
            <w:vAlign w:val="center"/>
          </w:tcPr>
          <w:p>
            <w:pPr>
              <w:widowControl/>
              <w:spacing w:line="300" w:lineRule="exact"/>
              <w:jc w:val="center"/>
              <w:rPr>
                <w:kern w:val="0"/>
                <w:sz w:val="24"/>
                <w:szCs w:val="24"/>
              </w:rPr>
            </w:pPr>
            <w:r>
              <w:rPr>
                <w:kern w:val="0"/>
                <w:sz w:val="24"/>
                <w:szCs w:val="24"/>
              </w:rPr>
              <w:t>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Merge w:val="restart"/>
            <w:vAlign w:val="center"/>
          </w:tcPr>
          <w:p>
            <w:pPr>
              <w:widowControl/>
              <w:spacing w:line="300" w:lineRule="exact"/>
              <w:jc w:val="center"/>
              <w:rPr>
                <w:kern w:val="0"/>
                <w:sz w:val="24"/>
                <w:szCs w:val="24"/>
              </w:rPr>
            </w:pPr>
            <w:r>
              <w:rPr>
                <w:kern w:val="0"/>
                <w:sz w:val="24"/>
                <w:szCs w:val="24"/>
              </w:rPr>
              <w:t>创新能力</w:t>
            </w:r>
          </w:p>
        </w:tc>
        <w:tc>
          <w:tcPr>
            <w:tcW w:w="585" w:type="dxa"/>
            <w:vAlign w:val="center"/>
          </w:tcPr>
          <w:p>
            <w:pPr>
              <w:widowControl/>
              <w:spacing w:line="300" w:lineRule="exact"/>
              <w:jc w:val="center"/>
              <w:rPr>
                <w:kern w:val="0"/>
                <w:sz w:val="24"/>
                <w:szCs w:val="24"/>
              </w:rPr>
            </w:pPr>
            <w:r>
              <w:rPr>
                <w:kern w:val="0"/>
                <w:sz w:val="24"/>
                <w:szCs w:val="24"/>
              </w:rPr>
              <w:t>7</w:t>
            </w:r>
          </w:p>
        </w:tc>
        <w:tc>
          <w:tcPr>
            <w:tcW w:w="3873" w:type="dxa"/>
            <w:vAlign w:val="center"/>
          </w:tcPr>
          <w:p>
            <w:pPr>
              <w:widowControl/>
              <w:spacing w:line="300" w:lineRule="exact"/>
              <w:jc w:val="left"/>
              <w:rPr>
                <w:kern w:val="0"/>
                <w:sz w:val="24"/>
                <w:szCs w:val="24"/>
              </w:rPr>
            </w:pPr>
            <w:r>
              <w:rPr>
                <w:rFonts w:eastAsia="方正仿宋_GBK"/>
                <w:kern w:val="0"/>
                <w:sz w:val="24"/>
                <w:szCs w:val="24"/>
              </w:rPr>
              <w:t>规模以上工业企业研发投入（亿元）</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12.4</w:t>
            </w:r>
          </w:p>
        </w:tc>
        <w:tc>
          <w:tcPr>
            <w:tcW w:w="939" w:type="dxa"/>
            <w:vAlign w:val="center"/>
          </w:tcPr>
          <w:p>
            <w:pPr>
              <w:widowControl/>
              <w:spacing w:line="300" w:lineRule="exact"/>
              <w:jc w:val="center"/>
              <w:rPr>
                <w:kern w:val="0"/>
                <w:sz w:val="24"/>
                <w:szCs w:val="24"/>
              </w:rPr>
            </w:pPr>
            <w:r>
              <w:rPr>
                <w:kern w:val="0"/>
                <w:sz w:val="24"/>
                <w:szCs w:val="24"/>
              </w:rPr>
              <w:t>27</w:t>
            </w:r>
          </w:p>
        </w:tc>
        <w:tc>
          <w:tcPr>
            <w:tcW w:w="1180" w:type="dxa"/>
            <w:vAlign w:val="center"/>
          </w:tcPr>
          <w:p>
            <w:pPr>
              <w:widowControl/>
              <w:spacing w:line="300" w:lineRule="exact"/>
              <w:jc w:val="center"/>
              <w:rPr>
                <w:kern w:val="0"/>
                <w:sz w:val="24"/>
                <w:szCs w:val="24"/>
              </w:rPr>
            </w:pPr>
            <w:r>
              <w:rPr>
                <w:kern w:val="0"/>
                <w:sz w:val="24"/>
                <w:szCs w:val="24"/>
              </w:rPr>
              <w:t>16.84%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Merge w:val="continue"/>
            <w:vAlign w:val="center"/>
          </w:tcPr>
          <w:p>
            <w:pPr>
              <w:widowControl/>
              <w:spacing w:line="300" w:lineRule="exact"/>
              <w:jc w:val="left"/>
              <w:rPr>
                <w:kern w:val="0"/>
                <w:sz w:val="24"/>
                <w:szCs w:val="24"/>
              </w:rPr>
            </w:pPr>
          </w:p>
        </w:tc>
        <w:tc>
          <w:tcPr>
            <w:tcW w:w="585" w:type="dxa"/>
            <w:vAlign w:val="center"/>
          </w:tcPr>
          <w:p>
            <w:pPr>
              <w:widowControl/>
              <w:spacing w:line="300" w:lineRule="exact"/>
              <w:jc w:val="center"/>
              <w:rPr>
                <w:kern w:val="0"/>
                <w:sz w:val="24"/>
                <w:szCs w:val="24"/>
              </w:rPr>
            </w:pPr>
            <w:r>
              <w:rPr>
                <w:kern w:val="0"/>
                <w:sz w:val="24"/>
                <w:szCs w:val="24"/>
              </w:rPr>
              <w:t>8</w:t>
            </w:r>
          </w:p>
        </w:tc>
        <w:tc>
          <w:tcPr>
            <w:tcW w:w="3873" w:type="dxa"/>
            <w:vAlign w:val="center"/>
          </w:tcPr>
          <w:p>
            <w:pPr>
              <w:widowControl/>
              <w:spacing w:line="300" w:lineRule="exact"/>
              <w:jc w:val="left"/>
              <w:rPr>
                <w:kern w:val="0"/>
                <w:sz w:val="24"/>
                <w:szCs w:val="24"/>
              </w:rPr>
            </w:pPr>
            <w:r>
              <w:rPr>
                <w:rFonts w:eastAsia="方正仿宋_GBK"/>
                <w:kern w:val="0"/>
                <w:sz w:val="24"/>
                <w:szCs w:val="24"/>
              </w:rPr>
              <w:t>规模以上工业企业研发投入强度（</w:t>
            </w:r>
            <w:r>
              <w:rPr>
                <w:kern w:val="0"/>
                <w:sz w:val="24"/>
                <w:szCs w:val="24"/>
              </w:rPr>
              <w:t>%</w:t>
            </w:r>
            <w:r>
              <w:rPr>
                <w:rFonts w:eastAsia="方正仿宋_GBK"/>
                <w:kern w:val="0"/>
                <w:sz w:val="24"/>
                <w:szCs w:val="24"/>
              </w:rPr>
              <w:t>）</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1.5</w:t>
            </w:r>
          </w:p>
        </w:tc>
        <w:tc>
          <w:tcPr>
            <w:tcW w:w="939" w:type="dxa"/>
            <w:vAlign w:val="center"/>
          </w:tcPr>
          <w:p>
            <w:pPr>
              <w:widowControl/>
              <w:spacing w:line="300" w:lineRule="exact"/>
              <w:jc w:val="center"/>
              <w:rPr>
                <w:kern w:val="0"/>
                <w:sz w:val="24"/>
                <w:szCs w:val="24"/>
              </w:rPr>
            </w:pPr>
            <w:r>
              <w:rPr>
                <w:kern w:val="0"/>
                <w:sz w:val="24"/>
                <w:szCs w:val="24"/>
              </w:rPr>
              <w:t>2.5</w:t>
            </w:r>
          </w:p>
        </w:tc>
        <w:tc>
          <w:tcPr>
            <w:tcW w:w="1180" w:type="dxa"/>
            <w:vAlign w:val="center"/>
          </w:tcPr>
          <w:p>
            <w:pPr>
              <w:widowControl/>
              <w:spacing w:line="300" w:lineRule="exact"/>
              <w:jc w:val="center"/>
              <w:rPr>
                <w:kern w:val="0"/>
                <w:sz w:val="24"/>
                <w:szCs w:val="24"/>
              </w:rPr>
            </w:pPr>
            <w:r>
              <w:rPr>
                <w:kern w:val="0"/>
                <w:sz w:val="24"/>
                <w:szCs w:val="24"/>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42" w:type="dxa"/>
            <w:vMerge w:val="continue"/>
            <w:vAlign w:val="center"/>
          </w:tcPr>
          <w:p>
            <w:pPr>
              <w:widowControl/>
              <w:spacing w:line="300" w:lineRule="exact"/>
              <w:jc w:val="left"/>
              <w:rPr>
                <w:kern w:val="0"/>
                <w:sz w:val="24"/>
                <w:szCs w:val="24"/>
              </w:rPr>
            </w:pPr>
          </w:p>
        </w:tc>
        <w:tc>
          <w:tcPr>
            <w:tcW w:w="585" w:type="dxa"/>
            <w:vAlign w:val="center"/>
          </w:tcPr>
          <w:p>
            <w:pPr>
              <w:widowControl/>
              <w:spacing w:line="300" w:lineRule="exact"/>
              <w:jc w:val="center"/>
              <w:rPr>
                <w:kern w:val="0"/>
                <w:sz w:val="24"/>
                <w:szCs w:val="24"/>
              </w:rPr>
            </w:pPr>
            <w:r>
              <w:rPr>
                <w:kern w:val="0"/>
                <w:sz w:val="24"/>
                <w:szCs w:val="24"/>
              </w:rPr>
              <w:t>9</w:t>
            </w:r>
          </w:p>
        </w:tc>
        <w:tc>
          <w:tcPr>
            <w:tcW w:w="3873" w:type="dxa"/>
            <w:vAlign w:val="center"/>
          </w:tcPr>
          <w:p>
            <w:pPr>
              <w:widowControl/>
              <w:spacing w:line="300" w:lineRule="exact"/>
              <w:jc w:val="left"/>
              <w:rPr>
                <w:kern w:val="0"/>
                <w:sz w:val="24"/>
                <w:szCs w:val="24"/>
              </w:rPr>
            </w:pPr>
            <w:r>
              <w:rPr>
                <w:rFonts w:eastAsia="方正仿宋_GBK"/>
                <w:kern w:val="0"/>
                <w:sz w:val="24"/>
                <w:szCs w:val="24"/>
              </w:rPr>
              <w:t>规模以上工业企业中建有研发机构的企业占比（</w:t>
            </w:r>
            <w:r>
              <w:rPr>
                <w:kern w:val="0"/>
                <w:sz w:val="24"/>
                <w:szCs w:val="24"/>
              </w:rPr>
              <w:t>%</w:t>
            </w:r>
            <w:r>
              <w:rPr>
                <w:rFonts w:eastAsia="方正仿宋_GBK"/>
                <w:kern w:val="0"/>
                <w:sz w:val="24"/>
                <w:szCs w:val="24"/>
              </w:rPr>
              <w:t>）</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25</w:t>
            </w:r>
          </w:p>
        </w:tc>
        <w:tc>
          <w:tcPr>
            <w:tcW w:w="939" w:type="dxa"/>
            <w:vAlign w:val="center"/>
          </w:tcPr>
          <w:p>
            <w:pPr>
              <w:widowControl/>
              <w:spacing w:line="300" w:lineRule="exact"/>
              <w:jc w:val="center"/>
              <w:rPr>
                <w:kern w:val="0"/>
                <w:sz w:val="24"/>
                <w:szCs w:val="24"/>
              </w:rPr>
            </w:pPr>
            <w:r>
              <w:rPr>
                <w:kern w:val="0"/>
                <w:sz w:val="24"/>
                <w:szCs w:val="24"/>
              </w:rPr>
              <w:t>50</w:t>
            </w:r>
          </w:p>
        </w:tc>
        <w:tc>
          <w:tcPr>
            <w:tcW w:w="1180" w:type="dxa"/>
            <w:vAlign w:val="center"/>
          </w:tcPr>
          <w:p>
            <w:pPr>
              <w:widowControl/>
              <w:spacing w:line="300" w:lineRule="exact"/>
              <w:jc w:val="center"/>
              <w:rPr>
                <w:kern w:val="0"/>
                <w:sz w:val="24"/>
                <w:szCs w:val="24"/>
              </w:rPr>
            </w:pPr>
            <w:r>
              <w:rPr>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42" w:type="dxa"/>
            <w:vMerge w:val="continue"/>
            <w:vAlign w:val="center"/>
          </w:tcPr>
          <w:p>
            <w:pPr>
              <w:widowControl/>
              <w:spacing w:line="300" w:lineRule="exact"/>
              <w:jc w:val="left"/>
              <w:rPr>
                <w:kern w:val="0"/>
                <w:sz w:val="24"/>
                <w:szCs w:val="24"/>
              </w:rPr>
            </w:pPr>
          </w:p>
        </w:tc>
        <w:tc>
          <w:tcPr>
            <w:tcW w:w="585" w:type="dxa"/>
            <w:vAlign w:val="center"/>
          </w:tcPr>
          <w:p>
            <w:pPr>
              <w:widowControl/>
              <w:spacing w:line="300" w:lineRule="exact"/>
              <w:jc w:val="center"/>
              <w:rPr>
                <w:kern w:val="0"/>
                <w:sz w:val="24"/>
                <w:szCs w:val="24"/>
              </w:rPr>
            </w:pPr>
            <w:r>
              <w:rPr>
                <w:kern w:val="0"/>
                <w:sz w:val="24"/>
                <w:szCs w:val="24"/>
              </w:rPr>
              <w:t>10</w:t>
            </w:r>
          </w:p>
        </w:tc>
        <w:tc>
          <w:tcPr>
            <w:tcW w:w="3873" w:type="dxa"/>
            <w:vAlign w:val="center"/>
          </w:tcPr>
          <w:p>
            <w:pPr>
              <w:widowControl/>
              <w:spacing w:line="300" w:lineRule="exact"/>
              <w:jc w:val="left"/>
              <w:rPr>
                <w:kern w:val="0"/>
                <w:sz w:val="24"/>
                <w:szCs w:val="24"/>
              </w:rPr>
            </w:pPr>
            <w:r>
              <w:rPr>
                <w:rFonts w:eastAsia="方正仿宋_GBK"/>
                <w:kern w:val="0"/>
                <w:sz w:val="24"/>
                <w:szCs w:val="24"/>
              </w:rPr>
              <w:t>规模以上工业企业中开展研发活动的企业占比（</w:t>
            </w:r>
            <w:r>
              <w:rPr>
                <w:kern w:val="0"/>
                <w:sz w:val="24"/>
                <w:szCs w:val="24"/>
              </w:rPr>
              <w:t>%</w:t>
            </w:r>
            <w:r>
              <w:rPr>
                <w:rFonts w:eastAsia="方正仿宋_GBK"/>
                <w:kern w:val="0"/>
                <w:sz w:val="24"/>
                <w:szCs w:val="24"/>
              </w:rPr>
              <w:t>）</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25</w:t>
            </w:r>
          </w:p>
        </w:tc>
        <w:tc>
          <w:tcPr>
            <w:tcW w:w="939" w:type="dxa"/>
            <w:vAlign w:val="center"/>
          </w:tcPr>
          <w:p>
            <w:pPr>
              <w:widowControl/>
              <w:spacing w:line="300" w:lineRule="exact"/>
              <w:jc w:val="center"/>
              <w:rPr>
                <w:kern w:val="0"/>
                <w:sz w:val="24"/>
                <w:szCs w:val="24"/>
              </w:rPr>
            </w:pPr>
            <w:r>
              <w:rPr>
                <w:kern w:val="0"/>
                <w:sz w:val="24"/>
                <w:szCs w:val="24"/>
              </w:rPr>
              <w:t>65</w:t>
            </w:r>
          </w:p>
        </w:tc>
        <w:tc>
          <w:tcPr>
            <w:tcW w:w="1180" w:type="dxa"/>
            <w:vAlign w:val="center"/>
          </w:tcPr>
          <w:p>
            <w:pPr>
              <w:widowControl/>
              <w:spacing w:line="300" w:lineRule="exact"/>
              <w:jc w:val="center"/>
              <w:rPr>
                <w:kern w:val="0"/>
                <w:sz w:val="24"/>
                <w:szCs w:val="24"/>
              </w:rPr>
            </w:pPr>
            <w:r>
              <w:rPr>
                <w:kern w:val="0"/>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42" w:type="dxa"/>
            <w:vMerge w:val="continue"/>
            <w:vAlign w:val="center"/>
          </w:tcPr>
          <w:p>
            <w:pPr>
              <w:widowControl/>
              <w:spacing w:line="300" w:lineRule="exact"/>
              <w:jc w:val="left"/>
              <w:rPr>
                <w:kern w:val="0"/>
                <w:sz w:val="24"/>
                <w:szCs w:val="24"/>
              </w:rPr>
            </w:pPr>
          </w:p>
        </w:tc>
        <w:tc>
          <w:tcPr>
            <w:tcW w:w="585" w:type="dxa"/>
            <w:vAlign w:val="center"/>
          </w:tcPr>
          <w:p>
            <w:pPr>
              <w:widowControl/>
              <w:spacing w:line="300" w:lineRule="exact"/>
              <w:jc w:val="center"/>
              <w:rPr>
                <w:kern w:val="0"/>
                <w:sz w:val="24"/>
                <w:szCs w:val="24"/>
              </w:rPr>
            </w:pPr>
            <w:r>
              <w:rPr>
                <w:kern w:val="0"/>
                <w:sz w:val="24"/>
                <w:szCs w:val="24"/>
              </w:rPr>
              <w:t>11</w:t>
            </w:r>
          </w:p>
        </w:tc>
        <w:tc>
          <w:tcPr>
            <w:tcW w:w="3873" w:type="dxa"/>
            <w:vAlign w:val="center"/>
          </w:tcPr>
          <w:p>
            <w:pPr>
              <w:widowControl/>
              <w:spacing w:line="300" w:lineRule="exact"/>
              <w:jc w:val="left"/>
              <w:rPr>
                <w:kern w:val="0"/>
                <w:sz w:val="24"/>
                <w:szCs w:val="24"/>
              </w:rPr>
            </w:pPr>
            <w:r>
              <w:rPr>
                <w:rFonts w:eastAsia="方正仿宋_GBK"/>
                <w:kern w:val="0"/>
                <w:sz w:val="24"/>
                <w:szCs w:val="24"/>
              </w:rPr>
              <w:t>市级及以上企业技术中心（研发中心）数量（个）</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62</w:t>
            </w:r>
          </w:p>
        </w:tc>
        <w:tc>
          <w:tcPr>
            <w:tcW w:w="939" w:type="dxa"/>
            <w:vAlign w:val="center"/>
          </w:tcPr>
          <w:p>
            <w:pPr>
              <w:widowControl/>
              <w:spacing w:line="300" w:lineRule="exact"/>
              <w:jc w:val="center"/>
              <w:rPr>
                <w:kern w:val="0"/>
                <w:sz w:val="24"/>
                <w:szCs w:val="24"/>
              </w:rPr>
            </w:pPr>
            <w:r>
              <w:rPr>
                <w:kern w:val="0"/>
                <w:sz w:val="24"/>
                <w:szCs w:val="24"/>
              </w:rPr>
              <w:t>130</w:t>
            </w:r>
          </w:p>
        </w:tc>
        <w:tc>
          <w:tcPr>
            <w:tcW w:w="1180" w:type="dxa"/>
            <w:vAlign w:val="center"/>
          </w:tcPr>
          <w:p>
            <w:pPr>
              <w:widowControl/>
              <w:spacing w:line="300" w:lineRule="exact"/>
              <w:jc w:val="center"/>
              <w:rPr>
                <w:kern w:val="0"/>
                <w:sz w:val="24"/>
                <w:szCs w:val="24"/>
              </w:rPr>
            </w:pPr>
            <w:r>
              <w:rPr>
                <w:kern w:val="0"/>
                <w:sz w:val="24"/>
                <w:szCs w:val="24"/>
              </w:rPr>
              <w:t>15.96%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2" w:type="dxa"/>
            <w:vMerge w:val="restart"/>
            <w:vAlign w:val="center"/>
          </w:tcPr>
          <w:p>
            <w:pPr>
              <w:widowControl/>
              <w:spacing w:line="300" w:lineRule="exact"/>
              <w:jc w:val="center"/>
              <w:rPr>
                <w:kern w:val="0"/>
                <w:sz w:val="24"/>
                <w:szCs w:val="24"/>
              </w:rPr>
            </w:pPr>
            <w:r>
              <w:rPr>
                <w:rFonts w:eastAsia="方正仿宋_GBK"/>
                <w:kern w:val="0"/>
                <w:sz w:val="24"/>
                <w:szCs w:val="24"/>
              </w:rPr>
              <w:t>两化融合</w:t>
            </w:r>
          </w:p>
        </w:tc>
        <w:tc>
          <w:tcPr>
            <w:tcW w:w="585" w:type="dxa"/>
            <w:vAlign w:val="center"/>
          </w:tcPr>
          <w:p>
            <w:pPr>
              <w:widowControl/>
              <w:spacing w:line="300" w:lineRule="exact"/>
              <w:jc w:val="center"/>
              <w:rPr>
                <w:kern w:val="0"/>
                <w:sz w:val="24"/>
                <w:szCs w:val="24"/>
              </w:rPr>
            </w:pPr>
            <w:r>
              <w:rPr>
                <w:kern w:val="0"/>
                <w:sz w:val="24"/>
                <w:szCs w:val="24"/>
              </w:rPr>
              <w:t>12</w:t>
            </w:r>
          </w:p>
        </w:tc>
        <w:tc>
          <w:tcPr>
            <w:tcW w:w="3873" w:type="dxa"/>
            <w:vAlign w:val="center"/>
          </w:tcPr>
          <w:p>
            <w:pPr>
              <w:widowControl/>
              <w:spacing w:line="300" w:lineRule="exact"/>
              <w:jc w:val="left"/>
              <w:rPr>
                <w:kern w:val="0"/>
                <w:sz w:val="24"/>
                <w:szCs w:val="24"/>
              </w:rPr>
            </w:pPr>
            <w:r>
              <w:rPr>
                <w:rFonts w:eastAsia="方正仿宋_GBK"/>
                <w:kern w:val="0"/>
                <w:sz w:val="24"/>
                <w:szCs w:val="24"/>
              </w:rPr>
              <w:t>智能工厂数量（个）</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1</w:t>
            </w:r>
          </w:p>
        </w:tc>
        <w:tc>
          <w:tcPr>
            <w:tcW w:w="939" w:type="dxa"/>
            <w:vAlign w:val="center"/>
          </w:tcPr>
          <w:p>
            <w:pPr>
              <w:widowControl/>
              <w:spacing w:line="300" w:lineRule="exact"/>
              <w:jc w:val="center"/>
              <w:rPr>
                <w:kern w:val="0"/>
                <w:sz w:val="24"/>
                <w:szCs w:val="24"/>
              </w:rPr>
            </w:pPr>
            <w:r>
              <w:rPr>
                <w:kern w:val="0"/>
                <w:sz w:val="24"/>
                <w:szCs w:val="24"/>
              </w:rPr>
              <w:t>5</w:t>
            </w:r>
          </w:p>
        </w:tc>
        <w:tc>
          <w:tcPr>
            <w:tcW w:w="1180" w:type="dxa"/>
            <w:vAlign w:val="center"/>
          </w:tcPr>
          <w:p>
            <w:pPr>
              <w:widowControl/>
              <w:spacing w:line="300" w:lineRule="exact"/>
              <w:jc w:val="center"/>
              <w:rPr>
                <w:kern w:val="0"/>
                <w:sz w:val="24"/>
                <w:szCs w:val="24"/>
              </w:rPr>
            </w:pPr>
            <w:r>
              <w:rPr>
                <w:kern w:val="0"/>
                <w:sz w:val="24"/>
                <w:szCs w:val="24"/>
              </w:rPr>
              <w:t>37.97%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2" w:type="dxa"/>
            <w:vMerge w:val="continue"/>
            <w:vAlign w:val="center"/>
          </w:tcPr>
          <w:p>
            <w:pPr>
              <w:widowControl/>
              <w:spacing w:line="300" w:lineRule="exact"/>
              <w:jc w:val="left"/>
              <w:rPr>
                <w:kern w:val="0"/>
                <w:sz w:val="24"/>
                <w:szCs w:val="24"/>
              </w:rPr>
            </w:pPr>
          </w:p>
        </w:tc>
        <w:tc>
          <w:tcPr>
            <w:tcW w:w="585" w:type="dxa"/>
            <w:vAlign w:val="center"/>
          </w:tcPr>
          <w:p>
            <w:pPr>
              <w:widowControl/>
              <w:spacing w:line="300" w:lineRule="exact"/>
              <w:jc w:val="center"/>
              <w:rPr>
                <w:kern w:val="0"/>
                <w:sz w:val="24"/>
                <w:szCs w:val="24"/>
              </w:rPr>
            </w:pPr>
            <w:r>
              <w:rPr>
                <w:kern w:val="0"/>
                <w:sz w:val="24"/>
                <w:szCs w:val="24"/>
              </w:rPr>
              <w:t>13</w:t>
            </w:r>
          </w:p>
        </w:tc>
        <w:tc>
          <w:tcPr>
            <w:tcW w:w="3873" w:type="dxa"/>
            <w:vAlign w:val="center"/>
          </w:tcPr>
          <w:p>
            <w:pPr>
              <w:widowControl/>
              <w:spacing w:line="300" w:lineRule="exact"/>
              <w:jc w:val="left"/>
              <w:rPr>
                <w:kern w:val="0"/>
                <w:sz w:val="24"/>
                <w:szCs w:val="24"/>
              </w:rPr>
            </w:pPr>
            <w:r>
              <w:rPr>
                <w:rFonts w:eastAsia="方正仿宋_GBK"/>
                <w:kern w:val="0"/>
                <w:sz w:val="24"/>
                <w:szCs w:val="24"/>
              </w:rPr>
              <w:t>数字化车间数量（个）</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4</w:t>
            </w:r>
          </w:p>
        </w:tc>
        <w:tc>
          <w:tcPr>
            <w:tcW w:w="939" w:type="dxa"/>
            <w:vAlign w:val="center"/>
          </w:tcPr>
          <w:p>
            <w:pPr>
              <w:widowControl/>
              <w:spacing w:line="300" w:lineRule="exact"/>
              <w:jc w:val="center"/>
              <w:rPr>
                <w:kern w:val="0"/>
                <w:sz w:val="24"/>
                <w:szCs w:val="24"/>
              </w:rPr>
            </w:pPr>
            <w:r>
              <w:rPr>
                <w:kern w:val="0"/>
                <w:sz w:val="24"/>
                <w:szCs w:val="24"/>
              </w:rPr>
              <w:t>25</w:t>
            </w:r>
          </w:p>
        </w:tc>
        <w:tc>
          <w:tcPr>
            <w:tcW w:w="1180" w:type="dxa"/>
            <w:vAlign w:val="center"/>
          </w:tcPr>
          <w:p>
            <w:pPr>
              <w:widowControl/>
              <w:spacing w:line="300" w:lineRule="exact"/>
              <w:jc w:val="center"/>
              <w:rPr>
                <w:kern w:val="0"/>
                <w:sz w:val="24"/>
                <w:szCs w:val="24"/>
              </w:rPr>
            </w:pPr>
            <w:r>
              <w:rPr>
                <w:kern w:val="0"/>
                <w:sz w:val="24"/>
                <w:szCs w:val="24"/>
              </w:rPr>
              <w:t>44.27%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42" w:type="dxa"/>
            <w:vMerge w:val="continue"/>
            <w:vAlign w:val="center"/>
          </w:tcPr>
          <w:p>
            <w:pPr>
              <w:widowControl/>
              <w:spacing w:line="300" w:lineRule="exact"/>
              <w:jc w:val="left"/>
              <w:rPr>
                <w:kern w:val="0"/>
                <w:sz w:val="24"/>
                <w:szCs w:val="24"/>
              </w:rPr>
            </w:pPr>
          </w:p>
        </w:tc>
        <w:tc>
          <w:tcPr>
            <w:tcW w:w="585" w:type="dxa"/>
            <w:vAlign w:val="center"/>
          </w:tcPr>
          <w:p>
            <w:pPr>
              <w:widowControl/>
              <w:spacing w:line="300" w:lineRule="exact"/>
              <w:jc w:val="center"/>
              <w:rPr>
                <w:kern w:val="0"/>
                <w:sz w:val="24"/>
                <w:szCs w:val="24"/>
              </w:rPr>
            </w:pPr>
            <w:r>
              <w:rPr>
                <w:kern w:val="0"/>
                <w:sz w:val="24"/>
                <w:szCs w:val="24"/>
              </w:rPr>
              <w:t>14</w:t>
            </w:r>
          </w:p>
        </w:tc>
        <w:tc>
          <w:tcPr>
            <w:tcW w:w="3873" w:type="dxa"/>
            <w:vAlign w:val="center"/>
          </w:tcPr>
          <w:p>
            <w:pPr>
              <w:widowControl/>
              <w:spacing w:line="300" w:lineRule="exact"/>
              <w:jc w:val="left"/>
              <w:rPr>
                <w:kern w:val="0"/>
                <w:sz w:val="24"/>
                <w:szCs w:val="24"/>
              </w:rPr>
            </w:pPr>
            <w:r>
              <w:rPr>
                <w:rFonts w:eastAsia="方正仿宋_GBK"/>
                <w:kern w:val="0"/>
                <w:sz w:val="24"/>
                <w:szCs w:val="24"/>
              </w:rPr>
              <w:t>通过国家两化融合管理体系贯标评定企业数量（家）</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20</w:t>
            </w:r>
          </w:p>
        </w:tc>
        <w:tc>
          <w:tcPr>
            <w:tcW w:w="939" w:type="dxa"/>
            <w:vAlign w:val="center"/>
          </w:tcPr>
          <w:p>
            <w:pPr>
              <w:widowControl/>
              <w:spacing w:line="300" w:lineRule="exact"/>
              <w:jc w:val="center"/>
              <w:rPr>
                <w:kern w:val="0"/>
                <w:sz w:val="24"/>
                <w:szCs w:val="24"/>
              </w:rPr>
            </w:pPr>
            <w:r>
              <w:rPr>
                <w:kern w:val="0"/>
                <w:sz w:val="24"/>
                <w:szCs w:val="24"/>
              </w:rPr>
              <w:t>60</w:t>
            </w:r>
          </w:p>
        </w:tc>
        <w:tc>
          <w:tcPr>
            <w:tcW w:w="1180" w:type="dxa"/>
            <w:vAlign w:val="center"/>
          </w:tcPr>
          <w:p>
            <w:pPr>
              <w:widowControl/>
              <w:spacing w:line="300" w:lineRule="exact"/>
              <w:jc w:val="center"/>
              <w:rPr>
                <w:kern w:val="0"/>
                <w:sz w:val="24"/>
                <w:szCs w:val="24"/>
              </w:rPr>
            </w:pPr>
            <w:r>
              <w:rPr>
                <w:kern w:val="0"/>
                <w:sz w:val="24"/>
                <w:szCs w:val="24"/>
              </w:rPr>
              <w:t>24.57%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842" w:type="dxa"/>
            <w:vMerge w:val="continue"/>
            <w:vAlign w:val="center"/>
          </w:tcPr>
          <w:p>
            <w:pPr>
              <w:widowControl/>
              <w:spacing w:line="300" w:lineRule="exact"/>
              <w:jc w:val="left"/>
              <w:rPr>
                <w:kern w:val="0"/>
                <w:sz w:val="24"/>
                <w:szCs w:val="24"/>
              </w:rPr>
            </w:pPr>
          </w:p>
        </w:tc>
        <w:tc>
          <w:tcPr>
            <w:tcW w:w="585" w:type="dxa"/>
            <w:vAlign w:val="center"/>
          </w:tcPr>
          <w:p>
            <w:pPr>
              <w:widowControl/>
              <w:spacing w:line="300" w:lineRule="exact"/>
              <w:jc w:val="center"/>
              <w:rPr>
                <w:kern w:val="0"/>
                <w:sz w:val="24"/>
                <w:szCs w:val="24"/>
              </w:rPr>
            </w:pPr>
            <w:r>
              <w:rPr>
                <w:kern w:val="0"/>
                <w:sz w:val="24"/>
                <w:szCs w:val="24"/>
              </w:rPr>
              <w:t>15</w:t>
            </w:r>
          </w:p>
        </w:tc>
        <w:tc>
          <w:tcPr>
            <w:tcW w:w="3873" w:type="dxa"/>
            <w:vAlign w:val="center"/>
          </w:tcPr>
          <w:p>
            <w:pPr>
              <w:widowControl/>
              <w:spacing w:line="300" w:lineRule="exact"/>
              <w:jc w:val="left"/>
              <w:rPr>
                <w:kern w:val="0"/>
                <w:sz w:val="24"/>
                <w:szCs w:val="24"/>
              </w:rPr>
            </w:pPr>
            <w:r>
              <w:rPr>
                <w:rFonts w:eastAsia="方正仿宋_GBK"/>
                <w:kern w:val="0"/>
                <w:sz w:val="24"/>
                <w:szCs w:val="24"/>
              </w:rPr>
              <w:t>应用工业互联网实施数字化转型的规上工业企业数量（家）</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w:t>
            </w:r>
          </w:p>
        </w:tc>
        <w:tc>
          <w:tcPr>
            <w:tcW w:w="939" w:type="dxa"/>
            <w:vAlign w:val="center"/>
          </w:tcPr>
          <w:p>
            <w:pPr>
              <w:widowControl/>
              <w:spacing w:line="300" w:lineRule="exact"/>
              <w:jc w:val="center"/>
              <w:rPr>
                <w:kern w:val="0"/>
                <w:sz w:val="24"/>
                <w:szCs w:val="24"/>
              </w:rPr>
            </w:pPr>
            <w:r>
              <w:rPr>
                <w:kern w:val="0"/>
                <w:sz w:val="24"/>
                <w:szCs w:val="24"/>
              </w:rPr>
              <w:t>400</w:t>
            </w:r>
          </w:p>
        </w:tc>
        <w:tc>
          <w:tcPr>
            <w:tcW w:w="1180" w:type="dxa"/>
            <w:vAlign w:val="center"/>
          </w:tcPr>
          <w:p>
            <w:pPr>
              <w:widowControl/>
              <w:spacing w:line="300" w:lineRule="exact"/>
              <w:jc w:val="center"/>
              <w:rPr>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Merge w:val="continue"/>
            <w:vAlign w:val="center"/>
          </w:tcPr>
          <w:p>
            <w:pPr>
              <w:widowControl/>
              <w:spacing w:line="300" w:lineRule="exact"/>
              <w:jc w:val="left"/>
              <w:rPr>
                <w:kern w:val="0"/>
                <w:sz w:val="24"/>
                <w:szCs w:val="24"/>
              </w:rPr>
            </w:pPr>
          </w:p>
        </w:tc>
        <w:tc>
          <w:tcPr>
            <w:tcW w:w="585" w:type="dxa"/>
            <w:vAlign w:val="center"/>
          </w:tcPr>
          <w:p>
            <w:pPr>
              <w:widowControl/>
              <w:spacing w:line="300" w:lineRule="exact"/>
              <w:jc w:val="center"/>
              <w:rPr>
                <w:kern w:val="0"/>
                <w:sz w:val="24"/>
                <w:szCs w:val="24"/>
              </w:rPr>
            </w:pPr>
            <w:r>
              <w:rPr>
                <w:kern w:val="0"/>
                <w:sz w:val="24"/>
                <w:szCs w:val="24"/>
              </w:rPr>
              <w:t>16</w:t>
            </w:r>
          </w:p>
        </w:tc>
        <w:tc>
          <w:tcPr>
            <w:tcW w:w="3873" w:type="dxa"/>
            <w:vAlign w:val="center"/>
          </w:tcPr>
          <w:p>
            <w:pPr>
              <w:widowControl/>
              <w:spacing w:line="300" w:lineRule="exact"/>
              <w:jc w:val="left"/>
              <w:rPr>
                <w:kern w:val="0"/>
                <w:sz w:val="24"/>
                <w:szCs w:val="24"/>
              </w:rPr>
            </w:pPr>
            <w:r>
              <w:rPr>
                <w:kern w:val="0"/>
                <w:sz w:val="24"/>
                <w:szCs w:val="24"/>
              </w:rPr>
              <w:t>“5G+</w:t>
            </w:r>
            <w:r>
              <w:rPr>
                <w:rFonts w:eastAsia="方正仿宋_GBK"/>
                <w:kern w:val="0"/>
                <w:sz w:val="24"/>
                <w:szCs w:val="24"/>
              </w:rPr>
              <w:t>工业互联网</w:t>
            </w:r>
            <w:r>
              <w:rPr>
                <w:kern w:val="0"/>
                <w:sz w:val="24"/>
                <w:szCs w:val="24"/>
              </w:rPr>
              <w:t>”</w:t>
            </w:r>
            <w:r>
              <w:rPr>
                <w:rFonts w:eastAsia="方正仿宋_GBK"/>
                <w:kern w:val="0"/>
                <w:sz w:val="24"/>
                <w:szCs w:val="24"/>
              </w:rPr>
              <w:t>先导应用示范场景（个）</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1</w:t>
            </w:r>
          </w:p>
        </w:tc>
        <w:tc>
          <w:tcPr>
            <w:tcW w:w="939" w:type="dxa"/>
            <w:vAlign w:val="center"/>
          </w:tcPr>
          <w:p>
            <w:pPr>
              <w:widowControl/>
              <w:spacing w:line="300" w:lineRule="exact"/>
              <w:jc w:val="center"/>
              <w:rPr>
                <w:kern w:val="0"/>
                <w:sz w:val="24"/>
                <w:szCs w:val="24"/>
              </w:rPr>
            </w:pPr>
            <w:r>
              <w:rPr>
                <w:kern w:val="0"/>
                <w:sz w:val="24"/>
                <w:szCs w:val="24"/>
              </w:rPr>
              <w:t>5</w:t>
            </w:r>
          </w:p>
        </w:tc>
        <w:tc>
          <w:tcPr>
            <w:tcW w:w="1180" w:type="dxa"/>
            <w:vAlign w:val="center"/>
          </w:tcPr>
          <w:p>
            <w:pPr>
              <w:widowControl/>
              <w:spacing w:line="300" w:lineRule="exact"/>
              <w:jc w:val="center"/>
              <w:rPr>
                <w:kern w:val="0"/>
                <w:sz w:val="24"/>
                <w:szCs w:val="24"/>
              </w:rPr>
            </w:pPr>
            <w:r>
              <w:rPr>
                <w:kern w:val="0"/>
                <w:sz w:val="24"/>
                <w:szCs w:val="24"/>
              </w:rPr>
              <w:t>37.97%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2" w:type="dxa"/>
            <w:vMerge w:val="restart"/>
            <w:vAlign w:val="center"/>
          </w:tcPr>
          <w:p>
            <w:pPr>
              <w:widowControl/>
              <w:spacing w:line="300" w:lineRule="exact"/>
              <w:jc w:val="center"/>
              <w:rPr>
                <w:kern w:val="0"/>
                <w:sz w:val="24"/>
                <w:szCs w:val="24"/>
              </w:rPr>
            </w:pPr>
            <w:r>
              <w:rPr>
                <w:rFonts w:eastAsia="方正仿宋_GBK"/>
                <w:kern w:val="0"/>
                <w:sz w:val="24"/>
                <w:szCs w:val="24"/>
              </w:rPr>
              <w:t>绿色发展</w:t>
            </w:r>
          </w:p>
        </w:tc>
        <w:tc>
          <w:tcPr>
            <w:tcW w:w="585" w:type="dxa"/>
            <w:vAlign w:val="center"/>
          </w:tcPr>
          <w:p>
            <w:pPr>
              <w:widowControl/>
              <w:spacing w:line="300" w:lineRule="exact"/>
              <w:jc w:val="center"/>
              <w:rPr>
                <w:kern w:val="0"/>
                <w:sz w:val="24"/>
                <w:szCs w:val="24"/>
              </w:rPr>
            </w:pPr>
            <w:r>
              <w:rPr>
                <w:kern w:val="0"/>
                <w:sz w:val="24"/>
                <w:szCs w:val="24"/>
              </w:rPr>
              <w:t>17</w:t>
            </w:r>
          </w:p>
        </w:tc>
        <w:tc>
          <w:tcPr>
            <w:tcW w:w="3873" w:type="dxa"/>
            <w:vAlign w:val="center"/>
          </w:tcPr>
          <w:p>
            <w:pPr>
              <w:widowControl/>
              <w:spacing w:line="300" w:lineRule="exact"/>
              <w:jc w:val="left"/>
              <w:rPr>
                <w:kern w:val="0"/>
                <w:sz w:val="24"/>
                <w:szCs w:val="24"/>
              </w:rPr>
            </w:pPr>
            <w:r>
              <w:rPr>
                <w:rFonts w:eastAsia="方正仿宋_GBK"/>
                <w:kern w:val="0"/>
                <w:sz w:val="24"/>
                <w:szCs w:val="24"/>
              </w:rPr>
              <w:t>规模以上工业单位增加值能耗下降率（</w:t>
            </w:r>
            <w:r>
              <w:rPr>
                <w:kern w:val="0"/>
                <w:sz w:val="24"/>
                <w:szCs w:val="24"/>
              </w:rPr>
              <w:t>%</w:t>
            </w:r>
            <w:r>
              <w:rPr>
                <w:rFonts w:eastAsia="方正仿宋_GBK"/>
                <w:kern w:val="0"/>
                <w:sz w:val="24"/>
                <w:szCs w:val="24"/>
              </w:rPr>
              <w:t>）</w:t>
            </w:r>
          </w:p>
        </w:tc>
        <w:tc>
          <w:tcPr>
            <w:tcW w:w="842" w:type="dxa"/>
            <w:vAlign w:val="center"/>
          </w:tcPr>
          <w:p>
            <w:pPr>
              <w:widowControl/>
              <w:spacing w:line="300" w:lineRule="exact"/>
              <w:jc w:val="center"/>
              <w:rPr>
                <w:kern w:val="0"/>
                <w:sz w:val="24"/>
                <w:szCs w:val="24"/>
              </w:rPr>
            </w:pPr>
            <w:r>
              <w:rPr>
                <w:rFonts w:eastAsia="方正仿宋_GBK"/>
                <w:kern w:val="0"/>
                <w:sz w:val="24"/>
                <w:szCs w:val="24"/>
              </w:rPr>
              <w:t>约束性</w:t>
            </w:r>
          </w:p>
        </w:tc>
        <w:tc>
          <w:tcPr>
            <w:tcW w:w="969" w:type="dxa"/>
            <w:vAlign w:val="center"/>
          </w:tcPr>
          <w:p>
            <w:pPr>
              <w:widowControl/>
              <w:spacing w:line="300" w:lineRule="exact"/>
              <w:jc w:val="center"/>
              <w:rPr>
                <w:kern w:val="0"/>
                <w:sz w:val="24"/>
                <w:szCs w:val="24"/>
              </w:rPr>
            </w:pPr>
            <w:r>
              <w:rPr>
                <w:kern w:val="0"/>
                <w:sz w:val="24"/>
                <w:szCs w:val="24"/>
              </w:rPr>
              <w:t>—</w:t>
            </w:r>
          </w:p>
        </w:tc>
        <w:tc>
          <w:tcPr>
            <w:tcW w:w="939" w:type="dxa"/>
            <w:vAlign w:val="center"/>
          </w:tcPr>
          <w:p>
            <w:pPr>
              <w:widowControl/>
              <w:spacing w:line="300" w:lineRule="exact"/>
              <w:jc w:val="center"/>
              <w:rPr>
                <w:kern w:val="0"/>
                <w:sz w:val="24"/>
                <w:szCs w:val="24"/>
              </w:rPr>
            </w:pPr>
            <w:r>
              <w:rPr>
                <w:kern w:val="0"/>
                <w:sz w:val="24"/>
                <w:szCs w:val="24"/>
              </w:rPr>
              <w:t>14</w:t>
            </w:r>
          </w:p>
        </w:tc>
        <w:tc>
          <w:tcPr>
            <w:tcW w:w="1180" w:type="dxa"/>
            <w:vAlign w:val="center"/>
          </w:tcPr>
          <w:p>
            <w:pPr>
              <w:widowControl/>
              <w:spacing w:line="300" w:lineRule="exact"/>
              <w:jc w:val="center"/>
              <w:rPr>
                <w:kern w:val="0"/>
                <w:sz w:val="24"/>
                <w:szCs w:val="24"/>
              </w:rPr>
            </w:pPr>
            <w:r>
              <w:rPr>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Merge w:val="continue"/>
            <w:vAlign w:val="center"/>
          </w:tcPr>
          <w:p>
            <w:pPr>
              <w:widowControl/>
              <w:spacing w:line="300" w:lineRule="exact"/>
              <w:jc w:val="left"/>
              <w:rPr>
                <w:kern w:val="0"/>
                <w:sz w:val="24"/>
                <w:szCs w:val="24"/>
              </w:rPr>
            </w:pPr>
          </w:p>
        </w:tc>
        <w:tc>
          <w:tcPr>
            <w:tcW w:w="585" w:type="dxa"/>
            <w:vAlign w:val="center"/>
          </w:tcPr>
          <w:p>
            <w:pPr>
              <w:widowControl/>
              <w:spacing w:line="300" w:lineRule="exact"/>
              <w:jc w:val="center"/>
              <w:rPr>
                <w:kern w:val="0"/>
                <w:sz w:val="24"/>
                <w:szCs w:val="24"/>
              </w:rPr>
            </w:pPr>
            <w:r>
              <w:rPr>
                <w:kern w:val="0"/>
                <w:sz w:val="24"/>
                <w:szCs w:val="24"/>
              </w:rPr>
              <w:t>18</w:t>
            </w:r>
          </w:p>
        </w:tc>
        <w:tc>
          <w:tcPr>
            <w:tcW w:w="3873" w:type="dxa"/>
            <w:vAlign w:val="center"/>
          </w:tcPr>
          <w:p>
            <w:pPr>
              <w:widowControl/>
              <w:spacing w:line="300" w:lineRule="exact"/>
              <w:jc w:val="left"/>
              <w:rPr>
                <w:kern w:val="0"/>
                <w:sz w:val="24"/>
                <w:szCs w:val="24"/>
              </w:rPr>
            </w:pPr>
            <w:r>
              <w:rPr>
                <w:rFonts w:eastAsia="方正仿宋_GBK"/>
                <w:kern w:val="0"/>
                <w:sz w:val="24"/>
                <w:szCs w:val="24"/>
              </w:rPr>
              <w:t>规模以上工业单位增加值水耗下降率（</w:t>
            </w:r>
            <w:r>
              <w:rPr>
                <w:kern w:val="0"/>
                <w:sz w:val="24"/>
                <w:szCs w:val="24"/>
              </w:rPr>
              <w:t>%</w:t>
            </w:r>
            <w:r>
              <w:rPr>
                <w:rFonts w:eastAsia="方正仿宋_GBK"/>
                <w:kern w:val="0"/>
                <w:sz w:val="24"/>
                <w:szCs w:val="24"/>
              </w:rPr>
              <w:t>）</w:t>
            </w:r>
          </w:p>
        </w:tc>
        <w:tc>
          <w:tcPr>
            <w:tcW w:w="842" w:type="dxa"/>
            <w:vAlign w:val="center"/>
          </w:tcPr>
          <w:p>
            <w:pPr>
              <w:widowControl/>
              <w:spacing w:line="300" w:lineRule="exact"/>
              <w:jc w:val="center"/>
              <w:rPr>
                <w:kern w:val="0"/>
                <w:sz w:val="24"/>
                <w:szCs w:val="24"/>
              </w:rPr>
            </w:pPr>
            <w:r>
              <w:rPr>
                <w:rFonts w:eastAsia="方正仿宋_GBK"/>
                <w:kern w:val="0"/>
                <w:sz w:val="24"/>
                <w:szCs w:val="24"/>
              </w:rPr>
              <w:t>约束性</w:t>
            </w:r>
          </w:p>
        </w:tc>
        <w:tc>
          <w:tcPr>
            <w:tcW w:w="969" w:type="dxa"/>
            <w:vAlign w:val="center"/>
          </w:tcPr>
          <w:p>
            <w:pPr>
              <w:widowControl/>
              <w:spacing w:line="300" w:lineRule="exact"/>
              <w:jc w:val="center"/>
              <w:rPr>
                <w:kern w:val="0"/>
                <w:sz w:val="24"/>
                <w:szCs w:val="24"/>
              </w:rPr>
            </w:pPr>
            <w:r>
              <w:rPr>
                <w:kern w:val="0"/>
                <w:sz w:val="24"/>
                <w:szCs w:val="24"/>
              </w:rPr>
              <w:t>—</w:t>
            </w:r>
          </w:p>
        </w:tc>
        <w:tc>
          <w:tcPr>
            <w:tcW w:w="939" w:type="dxa"/>
            <w:vAlign w:val="center"/>
          </w:tcPr>
          <w:p>
            <w:pPr>
              <w:widowControl/>
              <w:spacing w:line="300" w:lineRule="exact"/>
              <w:jc w:val="center"/>
              <w:rPr>
                <w:kern w:val="0"/>
                <w:sz w:val="24"/>
                <w:szCs w:val="24"/>
              </w:rPr>
            </w:pPr>
            <w:r>
              <w:rPr>
                <w:kern w:val="0"/>
                <w:sz w:val="24"/>
                <w:szCs w:val="24"/>
              </w:rPr>
              <w:t>20</w:t>
            </w:r>
          </w:p>
        </w:tc>
        <w:tc>
          <w:tcPr>
            <w:tcW w:w="1180" w:type="dxa"/>
            <w:vAlign w:val="center"/>
          </w:tcPr>
          <w:p>
            <w:pPr>
              <w:widowControl/>
              <w:spacing w:line="300" w:lineRule="exact"/>
              <w:jc w:val="center"/>
              <w:rPr>
                <w:kern w:val="0"/>
                <w:sz w:val="24"/>
                <w:szCs w:val="24"/>
              </w:rPr>
            </w:pPr>
            <w:r>
              <w:rPr>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Merge w:val="continue"/>
            <w:vAlign w:val="center"/>
          </w:tcPr>
          <w:p>
            <w:pPr>
              <w:widowControl/>
              <w:spacing w:line="300" w:lineRule="exact"/>
              <w:jc w:val="left"/>
              <w:rPr>
                <w:kern w:val="0"/>
                <w:sz w:val="24"/>
                <w:szCs w:val="24"/>
              </w:rPr>
            </w:pPr>
          </w:p>
        </w:tc>
        <w:tc>
          <w:tcPr>
            <w:tcW w:w="585" w:type="dxa"/>
            <w:vAlign w:val="center"/>
          </w:tcPr>
          <w:p>
            <w:pPr>
              <w:widowControl/>
              <w:spacing w:line="300" w:lineRule="exact"/>
              <w:jc w:val="center"/>
              <w:rPr>
                <w:kern w:val="0"/>
                <w:sz w:val="24"/>
                <w:szCs w:val="24"/>
              </w:rPr>
            </w:pPr>
            <w:r>
              <w:rPr>
                <w:kern w:val="0"/>
                <w:sz w:val="24"/>
                <w:szCs w:val="24"/>
              </w:rPr>
              <w:t>19</w:t>
            </w:r>
          </w:p>
        </w:tc>
        <w:tc>
          <w:tcPr>
            <w:tcW w:w="3873" w:type="dxa"/>
            <w:vAlign w:val="center"/>
          </w:tcPr>
          <w:p>
            <w:pPr>
              <w:widowControl/>
              <w:spacing w:line="300" w:lineRule="exact"/>
              <w:jc w:val="left"/>
              <w:rPr>
                <w:kern w:val="0"/>
                <w:sz w:val="24"/>
                <w:szCs w:val="24"/>
              </w:rPr>
            </w:pPr>
            <w:r>
              <w:rPr>
                <w:rFonts w:eastAsia="方正仿宋_GBK"/>
                <w:kern w:val="0"/>
                <w:sz w:val="24"/>
                <w:szCs w:val="24"/>
              </w:rPr>
              <w:t>绿色工厂数量（个）</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3</w:t>
            </w:r>
          </w:p>
        </w:tc>
        <w:tc>
          <w:tcPr>
            <w:tcW w:w="939" w:type="dxa"/>
            <w:vAlign w:val="center"/>
          </w:tcPr>
          <w:p>
            <w:pPr>
              <w:widowControl/>
              <w:spacing w:line="300" w:lineRule="exact"/>
              <w:jc w:val="center"/>
              <w:rPr>
                <w:kern w:val="0"/>
                <w:sz w:val="24"/>
                <w:szCs w:val="24"/>
              </w:rPr>
            </w:pPr>
            <w:r>
              <w:rPr>
                <w:kern w:val="0"/>
                <w:sz w:val="24"/>
                <w:szCs w:val="24"/>
              </w:rPr>
              <w:t>10</w:t>
            </w:r>
          </w:p>
        </w:tc>
        <w:tc>
          <w:tcPr>
            <w:tcW w:w="1180" w:type="dxa"/>
            <w:vAlign w:val="center"/>
          </w:tcPr>
          <w:p>
            <w:pPr>
              <w:widowControl/>
              <w:spacing w:line="300" w:lineRule="exact"/>
              <w:jc w:val="center"/>
              <w:rPr>
                <w:kern w:val="0"/>
                <w:sz w:val="24"/>
                <w:szCs w:val="24"/>
              </w:rPr>
            </w:pPr>
            <w:r>
              <w:rPr>
                <w:kern w:val="0"/>
                <w:sz w:val="24"/>
                <w:szCs w:val="24"/>
              </w:rPr>
              <w:t>27.23%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2" w:type="dxa"/>
            <w:vMerge w:val="continue"/>
            <w:vAlign w:val="center"/>
          </w:tcPr>
          <w:p>
            <w:pPr>
              <w:widowControl/>
              <w:spacing w:line="300" w:lineRule="exact"/>
              <w:jc w:val="left"/>
              <w:rPr>
                <w:kern w:val="0"/>
                <w:sz w:val="24"/>
                <w:szCs w:val="24"/>
              </w:rPr>
            </w:pPr>
          </w:p>
        </w:tc>
        <w:tc>
          <w:tcPr>
            <w:tcW w:w="585" w:type="dxa"/>
            <w:vAlign w:val="center"/>
          </w:tcPr>
          <w:p>
            <w:pPr>
              <w:widowControl/>
              <w:spacing w:line="300" w:lineRule="exact"/>
              <w:jc w:val="center"/>
              <w:rPr>
                <w:kern w:val="0"/>
                <w:sz w:val="24"/>
                <w:szCs w:val="24"/>
              </w:rPr>
            </w:pPr>
            <w:r>
              <w:rPr>
                <w:kern w:val="0"/>
                <w:sz w:val="24"/>
                <w:szCs w:val="24"/>
              </w:rPr>
              <w:t>20</w:t>
            </w:r>
          </w:p>
        </w:tc>
        <w:tc>
          <w:tcPr>
            <w:tcW w:w="3873" w:type="dxa"/>
            <w:vAlign w:val="center"/>
          </w:tcPr>
          <w:p>
            <w:pPr>
              <w:widowControl/>
              <w:spacing w:line="300" w:lineRule="exact"/>
              <w:jc w:val="left"/>
              <w:rPr>
                <w:kern w:val="0"/>
                <w:sz w:val="24"/>
                <w:szCs w:val="24"/>
              </w:rPr>
            </w:pPr>
            <w:r>
              <w:rPr>
                <w:rFonts w:eastAsia="方正仿宋_GBK"/>
                <w:kern w:val="0"/>
                <w:sz w:val="24"/>
                <w:szCs w:val="24"/>
              </w:rPr>
              <w:t>大宗工业固废利用率（</w:t>
            </w:r>
            <w:r>
              <w:rPr>
                <w:kern w:val="0"/>
                <w:sz w:val="24"/>
                <w:szCs w:val="24"/>
              </w:rPr>
              <w:t>%</w:t>
            </w:r>
            <w:r>
              <w:rPr>
                <w:rFonts w:eastAsia="方正仿宋_GBK"/>
                <w:kern w:val="0"/>
                <w:sz w:val="24"/>
                <w:szCs w:val="24"/>
              </w:rPr>
              <w:t>）</w:t>
            </w:r>
          </w:p>
        </w:tc>
        <w:tc>
          <w:tcPr>
            <w:tcW w:w="842" w:type="dxa"/>
            <w:vAlign w:val="center"/>
          </w:tcPr>
          <w:p>
            <w:pPr>
              <w:widowControl/>
              <w:spacing w:line="300" w:lineRule="exact"/>
              <w:jc w:val="center"/>
              <w:rPr>
                <w:kern w:val="0"/>
                <w:sz w:val="24"/>
                <w:szCs w:val="24"/>
              </w:rPr>
            </w:pPr>
            <w:r>
              <w:rPr>
                <w:rFonts w:eastAsia="方正仿宋_GBK"/>
                <w:kern w:val="0"/>
                <w:sz w:val="24"/>
                <w:szCs w:val="24"/>
              </w:rPr>
              <w:t>预期性</w:t>
            </w:r>
          </w:p>
        </w:tc>
        <w:tc>
          <w:tcPr>
            <w:tcW w:w="969" w:type="dxa"/>
            <w:vAlign w:val="center"/>
          </w:tcPr>
          <w:p>
            <w:pPr>
              <w:widowControl/>
              <w:spacing w:line="300" w:lineRule="exact"/>
              <w:jc w:val="center"/>
              <w:rPr>
                <w:kern w:val="0"/>
                <w:sz w:val="24"/>
                <w:szCs w:val="24"/>
              </w:rPr>
            </w:pPr>
            <w:r>
              <w:rPr>
                <w:kern w:val="0"/>
                <w:sz w:val="24"/>
                <w:szCs w:val="24"/>
              </w:rPr>
              <w:t>70</w:t>
            </w:r>
          </w:p>
        </w:tc>
        <w:tc>
          <w:tcPr>
            <w:tcW w:w="939" w:type="dxa"/>
            <w:vAlign w:val="center"/>
          </w:tcPr>
          <w:p>
            <w:pPr>
              <w:widowControl/>
              <w:spacing w:line="300" w:lineRule="exact"/>
              <w:jc w:val="center"/>
              <w:rPr>
                <w:kern w:val="0"/>
                <w:sz w:val="24"/>
                <w:szCs w:val="24"/>
              </w:rPr>
            </w:pPr>
            <w:r>
              <w:rPr>
                <w:kern w:val="0"/>
                <w:sz w:val="24"/>
                <w:szCs w:val="24"/>
              </w:rPr>
              <w:t>80</w:t>
            </w:r>
          </w:p>
        </w:tc>
        <w:tc>
          <w:tcPr>
            <w:tcW w:w="1180" w:type="dxa"/>
            <w:vAlign w:val="center"/>
          </w:tcPr>
          <w:p>
            <w:pPr>
              <w:widowControl/>
              <w:spacing w:line="300" w:lineRule="exact"/>
              <w:jc w:val="center"/>
              <w:rPr>
                <w:kern w:val="0"/>
                <w:sz w:val="24"/>
                <w:szCs w:val="24"/>
              </w:rPr>
            </w:pPr>
            <w:r>
              <w:rPr>
                <w:kern w:val="0"/>
                <w:sz w:val="24"/>
                <w:szCs w:val="24"/>
              </w:rPr>
              <w:t>2.0%</w:t>
            </w:r>
          </w:p>
        </w:tc>
      </w:tr>
    </w:tbl>
    <w:p>
      <w:pPr>
        <w:spacing w:line="440" w:lineRule="exact"/>
        <w:rPr>
          <w:rFonts w:eastAsia="方正书宋_GBK"/>
          <w:sz w:val="24"/>
          <w:szCs w:val="24"/>
        </w:rPr>
      </w:pPr>
      <w:r>
        <w:rPr>
          <w:rFonts w:eastAsia="方正黑体_GBK"/>
          <w:sz w:val="24"/>
          <w:szCs w:val="24"/>
        </w:rPr>
        <w:t>注：</w:t>
      </w:r>
      <w:r>
        <w:rPr>
          <w:rFonts w:eastAsia="方正书宋_GBK"/>
          <w:sz w:val="24"/>
          <w:szCs w:val="24"/>
        </w:rPr>
        <w:t>1．现状数据以统计年鉴最终公布数据为准。</w:t>
      </w:r>
    </w:p>
    <w:p>
      <w:pPr>
        <w:spacing w:line="440" w:lineRule="exact"/>
        <w:ind w:firstLine="480" w:firstLineChars="200"/>
        <w:rPr>
          <w:rFonts w:eastAsia="方正书宋_GBK"/>
          <w:sz w:val="24"/>
          <w:szCs w:val="24"/>
        </w:rPr>
      </w:pPr>
      <w:r>
        <w:rPr>
          <w:rFonts w:eastAsia="方正书宋_GBK"/>
          <w:sz w:val="24"/>
          <w:szCs w:val="24"/>
        </w:rPr>
        <w:t>2．工业增加值目标按不变价计算。</w:t>
      </w:r>
    </w:p>
    <w:p>
      <w:pPr>
        <w:spacing w:line="440" w:lineRule="exact"/>
        <w:ind w:firstLine="480" w:firstLineChars="200"/>
        <w:rPr>
          <w:rFonts w:eastAsia="方正书宋_GBK"/>
          <w:sz w:val="24"/>
          <w:szCs w:val="24"/>
        </w:rPr>
      </w:pPr>
      <w:r>
        <w:rPr>
          <w:rFonts w:eastAsia="方正书宋_GBK"/>
          <w:sz w:val="24"/>
          <w:szCs w:val="24"/>
        </w:rPr>
        <w:t>3．涉及价格变化指标均为当年价。</w:t>
      </w:r>
    </w:p>
    <w:p>
      <w:pPr>
        <w:spacing w:line="440" w:lineRule="exact"/>
        <w:ind w:firstLine="480" w:firstLineChars="200"/>
        <w:rPr>
          <w:rFonts w:eastAsia="方正书宋_GBK"/>
          <w:sz w:val="24"/>
          <w:szCs w:val="24"/>
        </w:rPr>
      </w:pPr>
      <w:r>
        <w:rPr>
          <w:rFonts w:eastAsia="方正书宋_GBK"/>
          <w:sz w:val="24"/>
          <w:szCs w:val="24"/>
        </w:rPr>
        <w:t>4．约束性指标以重庆市下达大足区强制性计划为准。</w:t>
      </w:r>
    </w:p>
    <w:p>
      <w:pPr>
        <w:widowControl/>
        <w:spacing w:line="594" w:lineRule="exact"/>
        <w:ind w:firstLine="640" w:firstLineChars="200"/>
        <w:outlineLvl w:val="0"/>
        <w:rPr>
          <w:rFonts w:eastAsia="方正黑体_GBK"/>
          <w:sz w:val="32"/>
          <w:szCs w:val="32"/>
        </w:rPr>
      </w:pPr>
      <w:bookmarkStart w:id="26" w:name="_Toc106013345"/>
      <w:r>
        <w:rPr>
          <w:rFonts w:eastAsia="方正黑体_GBK"/>
          <w:sz w:val="32"/>
          <w:szCs w:val="32"/>
        </w:rPr>
        <w:t>三、</w:t>
      </w:r>
      <w:bookmarkEnd w:id="10"/>
      <w:bookmarkStart w:id="27" w:name="_Toc87852610"/>
      <w:r>
        <w:rPr>
          <w:rFonts w:eastAsia="方正黑体_GBK"/>
          <w:sz w:val="32"/>
          <w:szCs w:val="32"/>
        </w:rPr>
        <w:t>优化产业空间布局</w:t>
      </w:r>
      <w:bookmarkEnd w:id="26"/>
      <w:bookmarkEnd w:id="27"/>
      <w:bookmarkStart w:id="28" w:name="_Toc87852612"/>
    </w:p>
    <w:p>
      <w:pPr>
        <w:spacing w:line="594" w:lineRule="exact"/>
        <w:ind w:firstLine="640" w:firstLineChars="200"/>
        <w:rPr>
          <w:rFonts w:eastAsia="方正仿宋_GBK"/>
          <w:sz w:val="32"/>
          <w:szCs w:val="32"/>
        </w:rPr>
      </w:pPr>
      <w:r>
        <w:rPr>
          <w:rFonts w:eastAsia="方正仿宋_GBK"/>
          <w:sz w:val="32"/>
          <w:szCs w:val="32"/>
        </w:rPr>
        <w:t>紧密结合城市空间规划、成渝地区双城经济圈建设规划、大足城市发展规划和产业发展方向，优化工业空间布局和产业布局，推动“产城融合一体化、产业集群区域化、园区建设生态化、土地利用集约化、功能配置协同化”，形成支撑大足工业高质量发展的新格局，全力打造成渝地区融合发展的产业聚集新高地。</w:t>
      </w:r>
    </w:p>
    <w:p>
      <w:pPr>
        <w:spacing w:line="594" w:lineRule="exact"/>
        <w:ind w:firstLine="643" w:firstLineChars="200"/>
        <w:rPr>
          <w:rFonts w:eastAsia="方正仿宋_GBK"/>
          <w:sz w:val="32"/>
          <w:szCs w:val="32"/>
        </w:rPr>
      </w:pPr>
      <w:r>
        <w:rPr>
          <w:rFonts w:eastAsia="方正仿宋_GBK"/>
          <w:b/>
          <w:bCs/>
          <w:sz w:val="32"/>
          <w:szCs w:val="32"/>
        </w:rPr>
        <w:t>双桥经开区。</w:t>
      </w:r>
      <w:r>
        <w:rPr>
          <w:rFonts w:eastAsia="方正仿宋_GBK"/>
          <w:sz w:val="32"/>
          <w:szCs w:val="32"/>
        </w:rPr>
        <w:t>聚焦产业、提升产能、升级技术、唱响品牌、延伸链条，以创建国家级经济技术开发区为引擎，着力培育大企业、构建大集群，发展壮大汽摩（专用车及零部件）、智能（电子）、静脉、锶盐等产业，重点培育信息技术、商贸物流、生产性服务业、新能源汽车等产业，培育2—3个产值上100亿元、税收上亿元的骨干企业。到2025年，双桥经开区</w:t>
      </w:r>
      <w:bookmarkStart w:id="29" w:name="_Hlk97213581"/>
      <w:r>
        <w:rPr>
          <w:rFonts w:eastAsia="方正仿宋_GBK"/>
          <w:sz w:val="32"/>
          <w:szCs w:val="32"/>
        </w:rPr>
        <w:t>建成区面积达到25平方公里，</w:t>
      </w:r>
      <w:bookmarkEnd w:id="29"/>
      <w:r>
        <w:rPr>
          <w:rFonts w:eastAsia="方正仿宋_GBK"/>
          <w:sz w:val="32"/>
          <w:szCs w:val="32"/>
        </w:rPr>
        <w:t>实现工业总产值1000亿元，规上工业总产值达到750亿元，成为全区经济高质量发展的主阵地，成功创建国家级经开区。</w:t>
      </w:r>
    </w:p>
    <w:p>
      <w:pPr>
        <w:spacing w:line="594" w:lineRule="exact"/>
        <w:ind w:firstLine="643" w:firstLineChars="200"/>
        <w:rPr>
          <w:rFonts w:eastAsia="方正仿宋_GBK"/>
          <w:sz w:val="32"/>
          <w:szCs w:val="32"/>
        </w:rPr>
      </w:pPr>
      <w:r>
        <w:rPr>
          <w:rFonts w:eastAsia="方正仿宋_GBK"/>
          <w:b/>
          <w:bCs/>
          <w:sz w:val="32"/>
          <w:szCs w:val="32"/>
        </w:rPr>
        <w:t>大足高新区。</w:t>
      </w:r>
      <w:r>
        <w:rPr>
          <w:rFonts w:eastAsia="方正仿宋_GBK"/>
          <w:sz w:val="32"/>
          <w:szCs w:val="32"/>
        </w:rPr>
        <w:t>着力引进高精尖、培育新引擎，发展壮大汽摩（摩托车）、机器人及智能装备等产业，重点培育集成电路、生物医药、新材料等产业，加快建设国家火炬工业机器人特色产业基地、中国西部最大的电梯和摩托车生产基地及重庆重要摩托车出口基地，培育3—5个20亿级产值企业。到2025年，园区建成区面积达到17平方公里，实现工业总产值440亿元，规上工业总产值达到330亿元，成功创建国家高新区，成为全市重要的高新技术产业新高地。</w:t>
      </w:r>
    </w:p>
    <w:p>
      <w:pPr>
        <w:spacing w:line="594" w:lineRule="exact"/>
        <w:ind w:firstLine="643" w:firstLineChars="200"/>
        <w:rPr>
          <w:rFonts w:eastAsia="方正仿宋_GBK"/>
          <w:sz w:val="32"/>
          <w:szCs w:val="32"/>
        </w:rPr>
      </w:pPr>
      <w:r>
        <w:rPr>
          <w:rFonts w:eastAsia="方正仿宋_GBK"/>
          <w:b/>
          <w:bCs/>
          <w:sz w:val="32"/>
          <w:szCs w:val="32"/>
        </w:rPr>
        <w:t>大足工业园区。</w:t>
      </w:r>
      <w:r>
        <w:rPr>
          <w:rFonts w:eastAsia="方正仿宋_GBK"/>
          <w:sz w:val="32"/>
          <w:szCs w:val="32"/>
        </w:rPr>
        <w:t>优化调整产业结构，加快工业转型升级步伐，进一步做强现代五金、智能家居、商贸物流、汽摩配件传统产业，培育新型轻量化材料、智能化精密模具产业。建设大足五金工业互联网平台，推动五金产业供需链、资金链、人才链、技术链的“四链合一”。到2025年，园区建成区面积达到7.1平方公里，实现工业总产值440亿元，规上工业总产值达到365亿元，打造成为全国重要的现代五金产业基地、全市特色消费品产业基地。</w:t>
      </w:r>
    </w:p>
    <w:p>
      <w:pPr>
        <w:spacing w:line="594" w:lineRule="exact"/>
        <w:ind w:firstLine="643" w:firstLineChars="200"/>
        <w:rPr>
          <w:rFonts w:eastAsia="方正仿宋_GBK"/>
          <w:sz w:val="32"/>
          <w:szCs w:val="32"/>
        </w:rPr>
      </w:pPr>
      <w:bookmarkStart w:id="30" w:name="_Hlk95330438"/>
      <w:r>
        <w:rPr>
          <w:rFonts w:eastAsia="方正仿宋_GBK"/>
          <w:b/>
          <w:bCs/>
          <w:sz w:val="32"/>
          <w:szCs w:val="32"/>
        </w:rPr>
        <w:t>大足石刻文创园</w:t>
      </w:r>
      <w:bookmarkEnd w:id="30"/>
      <w:r>
        <w:rPr>
          <w:rFonts w:eastAsia="方正仿宋_GBK"/>
          <w:b/>
          <w:bCs/>
          <w:sz w:val="32"/>
          <w:szCs w:val="32"/>
        </w:rPr>
        <w:t>。</w:t>
      </w:r>
      <w:r>
        <w:rPr>
          <w:rFonts w:eastAsia="方正仿宋_GBK"/>
          <w:sz w:val="32"/>
          <w:szCs w:val="32"/>
        </w:rPr>
        <w:t>以大足石雕和大足石刻文创为两大品牌，创新三产融合发展模式。以文化创意为主导产业，发展文化娱乐休闲、文化传播、创意设计服务、文化投资运营、装备生产、教育培训、文化辅助生产、创新孵化等产业。以生产性服务业为配套产业，发展金融服务、智慧建设、信息咨询、品质居住、娱乐休闲、教育医疗、共享平台等产业。到2025年，园区建成区面积达到4平方公里，实现园区工业总产值60亿元，规上工业总产值达到50亿元，成功创建国家级文化产业示范园区，成为全区培育经济新增长点的生力军。</w:t>
      </w:r>
    </w:p>
    <w:p>
      <w:pPr>
        <w:jc w:val="center"/>
      </w:pPr>
      <w:r>
        <w:drawing>
          <wp:inline distT="0" distB="0" distL="114300" distR="114300">
            <wp:extent cx="5734050" cy="5450205"/>
            <wp:effectExtent l="0" t="0" r="0" b="17145"/>
            <wp:docPr id="2" name="图片 2"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
                    <pic:cNvPicPr>
                      <a:picLocks noChangeAspect="1"/>
                    </pic:cNvPicPr>
                  </pic:nvPicPr>
                  <pic:blipFill>
                    <a:blip r:embed="rId14"/>
                    <a:stretch>
                      <a:fillRect/>
                    </a:stretch>
                  </pic:blipFill>
                  <pic:spPr>
                    <a:xfrm>
                      <a:off x="0" y="0"/>
                      <a:ext cx="5734050" cy="5450205"/>
                    </a:xfrm>
                    <a:prstGeom prst="rect">
                      <a:avLst/>
                    </a:prstGeom>
                    <a:noFill/>
                    <a:ln w="9525">
                      <a:noFill/>
                    </a:ln>
                  </pic:spPr>
                </pic:pic>
              </a:graphicData>
            </a:graphic>
          </wp:inline>
        </w:drawing>
      </w:r>
    </w:p>
    <w:p>
      <w:pPr>
        <w:snapToGrid w:val="0"/>
        <w:spacing w:after="120" w:afterLines="50"/>
        <w:jc w:val="center"/>
        <w:rPr>
          <w:rFonts w:eastAsia="方正仿宋_GBK"/>
          <w:b/>
          <w:bCs/>
          <w:sz w:val="28"/>
          <w:szCs w:val="21"/>
        </w:rPr>
      </w:pPr>
      <w:r>
        <w:rPr>
          <w:rFonts w:eastAsia="方正仿宋_GBK"/>
          <w:b/>
          <w:bCs/>
          <w:sz w:val="28"/>
          <w:szCs w:val="21"/>
        </w:rPr>
        <w:t>图3-1  产业园区布局图</w:t>
      </w:r>
    </w:p>
    <w:p>
      <w:pPr>
        <w:widowControl/>
        <w:spacing w:line="594" w:lineRule="exact"/>
        <w:outlineLvl w:val="0"/>
        <w:rPr>
          <w:rFonts w:eastAsia="方正黑体_GBK"/>
          <w:sz w:val="32"/>
          <w:szCs w:val="32"/>
        </w:rPr>
      </w:pPr>
      <w:bookmarkStart w:id="31" w:name="_Toc106013346"/>
      <w:r>
        <w:rPr>
          <w:rFonts w:eastAsia="方正黑体_GBK"/>
          <w:sz w:val="32"/>
          <w:szCs w:val="32"/>
        </w:rPr>
        <w:t>四、构建现代工业体系</w:t>
      </w:r>
      <w:bookmarkEnd w:id="31"/>
    </w:p>
    <w:p>
      <w:pPr>
        <w:widowControl/>
        <w:spacing w:line="594" w:lineRule="exact"/>
        <w:ind w:firstLine="640" w:firstLineChars="200"/>
        <w:outlineLvl w:val="1"/>
        <w:rPr>
          <w:rFonts w:eastAsia="方正楷体_GBK"/>
          <w:sz w:val="32"/>
          <w:szCs w:val="32"/>
        </w:rPr>
      </w:pPr>
      <w:bookmarkStart w:id="32" w:name="_Toc106013347"/>
      <w:r>
        <w:rPr>
          <w:rFonts w:eastAsia="方正楷体_GBK"/>
          <w:sz w:val="32"/>
          <w:szCs w:val="32"/>
        </w:rPr>
        <w:t>（一）培育壮大六大特色产业集群</w:t>
      </w:r>
      <w:bookmarkEnd w:id="32"/>
    </w:p>
    <w:bookmarkEnd w:id="28"/>
    <w:p>
      <w:pPr>
        <w:spacing w:line="594" w:lineRule="exact"/>
        <w:ind w:firstLine="640" w:firstLineChars="200"/>
        <w:rPr>
          <w:rFonts w:eastAsia="方正仿宋_GBK"/>
          <w:sz w:val="32"/>
          <w:szCs w:val="32"/>
        </w:rPr>
        <w:sectPr>
          <w:pgSz w:w="11906" w:h="16838"/>
          <w:pgMar w:top="1985" w:right="1446" w:bottom="1644" w:left="1446" w:header="851" w:footer="992" w:gutter="0"/>
          <w:pgNumType w:fmt="numberInDash" w:start="1"/>
          <w:cols w:space="720" w:num="1"/>
          <w:docGrid w:linePitch="312" w:charSpace="0"/>
        </w:sectPr>
      </w:pPr>
      <w:r>
        <w:rPr>
          <w:rFonts w:eastAsia="方正仿宋_GBK"/>
          <w:sz w:val="32"/>
          <w:szCs w:val="32"/>
        </w:rPr>
        <w:t>按照产业链发展模式，明确产业延伸方向和发展重点，结合产业集群发展实际，对照产业链图谱，推动“产业、集群、园区、企业、项目”五位一体集聚发展。着力强化补链强链、聚链成群，加快传统产业、存量企业转型升级，增强产业链供应链稳定性和竞争力，加快产业基础高级化和产业链现代化，促进经济循环和产业链畅通，培育壮大特色产业集群，实现“脱胎换骨”。</w:t>
      </w:r>
    </w:p>
    <w:p>
      <w:pPr>
        <w:snapToGrid w:val="0"/>
        <w:spacing w:after="120" w:afterLines="50"/>
        <w:jc w:val="center"/>
        <w:rPr>
          <w:rFonts w:eastAsia="方正仿宋_GBK"/>
          <w:b/>
          <w:bCs/>
          <w:sz w:val="28"/>
          <w:szCs w:val="21"/>
        </w:rPr>
      </w:pPr>
      <w:r>
        <w:drawing>
          <wp:anchor distT="0" distB="0" distL="114300" distR="114300" simplePos="0" relativeHeight="251659264" behindDoc="0" locked="0" layoutInCell="1" allowOverlap="1">
            <wp:simplePos x="0" y="0"/>
            <wp:positionH relativeFrom="column">
              <wp:posOffset>-788035</wp:posOffset>
            </wp:positionH>
            <wp:positionV relativeFrom="paragraph">
              <wp:posOffset>309245</wp:posOffset>
            </wp:positionV>
            <wp:extent cx="10253345" cy="4618355"/>
            <wp:effectExtent l="0" t="0" r="14605" b="10795"/>
            <wp:wrapNone/>
            <wp:docPr id="7" name="图片 5" descr="5cc5fde252b7bd14d54474a44a737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5cc5fde252b7bd14d54474a44a737e3"/>
                    <pic:cNvPicPr>
                      <a:picLocks noChangeAspect="1"/>
                    </pic:cNvPicPr>
                  </pic:nvPicPr>
                  <pic:blipFill>
                    <a:blip r:embed="rId15"/>
                    <a:stretch>
                      <a:fillRect/>
                    </a:stretch>
                  </pic:blipFill>
                  <pic:spPr>
                    <a:xfrm>
                      <a:off x="0" y="0"/>
                      <a:ext cx="10253345" cy="4618355"/>
                    </a:xfrm>
                    <a:prstGeom prst="rect">
                      <a:avLst/>
                    </a:prstGeom>
                    <a:noFill/>
                    <a:ln w="9525">
                      <a:noFill/>
                    </a:ln>
                  </pic:spPr>
                </pic:pic>
              </a:graphicData>
            </a:graphic>
          </wp:anchor>
        </w:drawing>
      </w:r>
    </w:p>
    <w:p>
      <w:pPr>
        <w:snapToGrid w:val="0"/>
        <w:spacing w:after="120" w:afterLines="50"/>
        <w:jc w:val="center"/>
        <w:rPr>
          <w:rFonts w:eastAsia="方正仿宋_GBK"/>
          <w:b/>
          <w:bCs/>
          <w:sz w:val="28"/>
          <w:szCs w:val="21"/>
        </w:rPr>
      </w:pPr>
    </w:p>
    <w:p>
      <w:pPr>
        <w:snapToGrid w:val="0"/>
        <w:spacing w:after="120" w:afterLines="50"/>
        <w:jc w:val="center"/>
        <w:rPr>
          <w:rFonts w:eastAsia="方正仿宋_GBK"/>
          <w:b/>
          <w:bCs/>
          <w:sz w:val="28"/>
          <w:szCs w:val="21"/>
        </w:rPr>
      </w:pPr>
    </w:p>
    <w:p>
      <w:pPr>
        <w:snapToGrid w:val="0"/>
        <w:spacing w:after="120" w:afterLines="50"/>
        <w:jc w:val="center"/>
        <w:rPr>
          <w:rFonts w:eastAsia="方正仿宋_GBK"/>
          <w:b/>
          <w:bCs/>
          <w:sz w:val="28"/>
          <w:szCs w:val="21"/>
        </w:rPr>
      </w:pPr>
    </w:p>
    <w:p>
      <w:pPr>
        <w:pStyle w:val="2"/>
      </w:pPr>
    </w:p>
    <w:p/>
    <w:p>
      <w:pPr>
        <w:pStyle w:val="2"/>
      </w:pPr>
    </w:p>
    <w:p/>
    <w:p>
      <w:pPr>
        <w:pStyle w:val="2"/>
      </w:pPr>
    </w:p>
    <w:p/>
    <w:p>
      <w:pPr>
        <w:snapToGrid w:val="0"/>
        <w:spacing w:after="120" w:afterLines="50"/>
        <w:jc w:val="center"/>
        <w:rPr>
          <w:rFonts w:eastAsia="方正仿宋_GBK"/>
          <w:b/>
          <w:bCs/>
          <w:sz w:val="28"/>
          <w:szCs w:val="21"/>
        </w:rPr>
      </w:pPr>
    </w:p>
    <w:p>
      <w:pPr>
        <w:snapToGrid w:val="0"/>
        <w:spacing w:after="120" w:afterLines="50"/>
        <w:jc w:val="center"/>
        <w:rPr>
          <w:rFonts w:eastAsia="方正仿宋_GBK"/>
          <w:b/>
          <w:bCs/>
          <w:sz w:val="28"/>
          <w:szCs w:val="21"/>
        </w:rPr>
      </w:pPr>
    </w:p>
    <w:p>
      <w:pPr>
        <w:snapToGrid w:val="0"/>
        <w:spacing w:after="120" w:afterLines="50"/>
        <w:jc w:val="center"/>
        <w:rPr>
          <w:rFonts w:eastAsia="方正仿宋_GBK"/>
          <w:b/>
          <w:bCs/>
          <w:sz w:val="28"/>
          <w:szCs w:val="21"/>
        </w:rPr>
      </w:pPr>
    </w:p>
    <w:p>
      <w:pPr>
        <w:snapToGrid w:val="0"/>
        <w:spacing w:after="120" w:afterLines="50"/>
        <w:jc w:val="center"/>
        <w:rPr>
          <w:rFonts w:eastAsia="方正仿宋_GBK"/>
          <w:b/>
          <w:bCs/>
          <w:sz w:val="28"/>
          <w:szCs w:val="21"/>
        </w:rPr>
      </w:pPr>
    </w:p>
    <w:p>
      <w:pPr>
        <w:pStyle w:val="2"/>
      </w:pPr>
    </w:p>
    <w:p/>
    <w:p>
      <w:pPr>
        <w:pStyle w:val="2"/>
      </w:pPr>
    </w:p>
    <w:p/>
    <w:p>
      <w:pPr>
        <w:pStyle w:val="2"/>
      </w:pPr>
    </w:p>
    <w:p/>
    <w:p>
      <w:pPr>
        <w:pStyle w:val="2"/>
      </w:pPr>
    </w:p>
    <w:p/>
    <w:p>
      <w:pPr>
        <w:snapToGrid w:val="0"/>
        <w:spacing w:after="120" w:afterLines="50"/>
        <w:jc w:val="center"/>
        <w:rPr>
          <w:rFonts w:eastAsia="方正仿宋_GBK"/>
          <w:b/>
          <w:bCs/>
          <w:sz w:val="28"/>
          <w:szCs w:val="21"/>
        </w:rPr>
      </w:pPr>
    </w:p>
    <w:p>
      <w:pPr>
        <w:snapToGrid w:val="0"/>
        <w:spacing w:after="120" w:afterLines="50"/>
        <w:jc w:val="center"/>
        <w:rPr>
          <w:rFonts w:eastAsia="方正仿宋_GBK"/>
          <w:b/>
          <w:bCs/>
          <w:sz w:val="28"/>
          <w:szCs w:val="21"/>
        </w:rPr>
      </w:pPr>
      <w:r>
        <w:rPr>
          <w:rFonts w:eastAsia="方正仿宋_GBK"/>
          <w:b/>
          <w:bCs/>
          <w:sz w:val="28"/>
          <w:szCs w:val="21"/>
        </w:rPr>
        <w:t>图4-1  大足区重点发展产业图谱</w:t>
      </w:r>
    </w:p>
    <w:p>
      <w:pPr>
        <w:ind w:firstLine="640" w:firstLineChars="200"/>
        <w:jc w:val="center"/>
        <w:rPr>
          <w:rFonts w:eastAsia="方正仿宋_GBK"/>
          <w:sz w:val="32"/>
          <w:szCs w:val="32"/>
        </w:rPr>
        <w:sectPr>
          <w:pgSz w:w="16838" w:h="11906" w:orient="landscape"/>
          <w:pgMar w:top="1446" w:right="1985" w:bottom="1446" w:left="1644" w:header="851" w:footer="992" w:gutter="0"/>
          <w:pgNumType w:fmt="numberInDash"/>
          <w:cols w:space="720" w:num="1"/>
          <w:docGrid w:linePitch="312" w:charSpace="0"/>
        </w:sectPr>
      </w:pPr>
    </w:p>
    <w:p>
      <w:pPr>
        <w:spacing w:line="594" w:lineRule="exact"/>
        <w:ind w:firstLine="643" w:firstLineChars="200"/>
        <w:outlineLvl w:val="2"/>
        <w:rPr>
          <w:rFonts w:eastAsia="方正仿宋_GBK"/>
          <w:b/>
          <w:bCs/>
          <w:kern w:val="0"/>
          <w:sz w:val="32"/>
          <w:szCs w:val="32"/>
        </w:rPr>
      </w:pPr>
      <w:bookmarkStart w:id="33" w:name="_Toc87852613"/>
      <w:r>
        <w:rPr>
          <w:rFonts w:eastAsia="方正仿宋_GBK"/>
          <w:b/>
          <w:bCs/>
          <w:kern w:val="0"/>
          <w:sz w:val="32"/>
          <w:szCs w:val="32"/>
        </w:rPr>
        <w:t>1．五金产业集群</w:t>
      </w:r>
    </w:p>
    <w:p>
      <w:pPr>
        <w:spacing w:line="594" w:lineRule="exact"/>
        <w:ind w:firstLine="640" w:firstLineChars="200"/>
        <w:rPr>
          <w:rFonts w:eastAsia="方正仿宋_GBK"/>
          <w:sz w:val="32"/>
          <w:szCs w:val="32"/>
        </w:rPr>
      </w:pPr>
      <w:r>
        <w:rPr>
          <w:rFonts w:eastAsia="方正仿宋_GBK"/>
          <w:sz w:val="32"/>
          <w:szCs w:val="32"/>
        </w:rPr>
        <w:t>紧盯人性化、集成化、组合化、小型化发展方向，按照“厚植底蕴、深挖潜能、创响品牌、量质并举”的发展思路，围绕日用五金、工具五金、家居五金、农机五金等重点方向，加快产业链核心环节技术攻坚；积极推进五金智能制造产业园、五金特色产业园、五金工业互联网平台等项目建设；依托新一代信息技术加速产业分工协作，助力企业做大做强，重塑千年五金辉煌，做优做特做靓中国西部五金之都。到2025年，五金产业工业总产值达到380亿元，其中规上工业总产值达到270亿元。</w:t>
      </w:r>
    </w:p>
    <w:p>
      <w:pPr>
        <w:spacing w:line="594" w:lineRule="exact"/>
        <w:ind w:firstLine="643" w:firstLineChars="200"/>
        <w:rPr>
          <w:rFonts w:eastAsia="方正仿宋_GBK"/>
          <w:sz w:val="32"/>
          <w:szCs w:val="32"/>
        </w:rPr>
      </w:pPr>
      <w:r>
        <w:rPr>
          <w:rFonts w:eastAsia="方正仿宋_GBK"/>
          <w:b/>
          <w:bCs/>
          <w:sz w:val="32"/>
          <w:szCs w:val="32"/>
        </w:rPr>
        <w:t>日用五金。</w:t>
      </w:r>
      <w:r>
        <w:rPr>
          <w:rFonts w:eastAsia="方正仿宋_GBK"/>
          <w:sz w:val="32"/>
          <w:szCs w:val="32"/>
        </w:rPr>
        <w:t>以邓氏厨具、桥丰五金、永利刀具等本地刀剪企业加工处理工艺及设备升级为重点，引导企业开发、生产人性化、个性化产品，增强居民日常适用、礼品收藏等生活刀剪用品开发创新能力，扩大国内外中高端刀具市场份额。培育发展个人护理器具、智能保温杯、节能型不粘锅、智能厨具小家电等精品五金，实现产品多样化和市场多元化。</w:t>
      </w:r>
    </w:p>
    <w:p>
      <w:pPr>
        <w:spacing w:line="594" w:lineRule="exact"/>
        <w:ind w:firstLine="643" w:firstLineChars="200"/>
        <w:rPr>
          <w:rFonts w:eastAsia="方正仿宋_GBK"/>
          <w:sz w:val="32"/>
          <w:szCs w:val="32"/>
        </w:rPr>
      </w:pPr>
      <w:r>
        <w:rPr>
          <w:rFonts w:eastAsia="方正仿宋_GBK"/>
          <w:b/>
          <w:bCs/>
          <w:sz w:val="32"/>
          <w:szCs w:val="32"/>
        </w:rPr>
        <w:t>工具五金。</w:t>
      </w:r>
      <w:r>
        <w:rPr>
          <w:rFonts w:eastAsia="方正仿宋_GBK"/>
          <w:sz w:val="32"/>
          <w:szCs w:val="32"/>
        </w:rPr>
        <w:t>把握智能新能源汽车、摩托车产业发展新趋势，支持渝足工具、前程工具等企业产能对接，培育发展汽保组套工具。针对东南亚、非洲、北欧等国家和地区生产、生活习性开发新产品，推动明友钢具、翔锋工具、澳林工具等企业联合开发个性化、组合多功能DIY套装工具产品，开拓国际市场。引进奥奔、科麦斯、世达、史丹利、博世等一线品牌，提升产品影响力。</w:t>
      </w:r>
    </w:p>
    <w:p>
      <w:pPr>
        <w:spacing w:line="594" w:lineRule="exact"/>
        <w:ind w:firstLine="643" w:firstLineChars="200"/>
        <w:rPr>
          <w:rFonts w:eastAsia="方正仿宋_GBK"/>
          <w:sz w:val="32"/>
          <w:szCs w:val="32"/>
        </w:rPr>
      </w:pPr>
      <w:r>
        <w:rPr>
          <w:rFonts w:eastAsia="方正仿宋_GBK"/>
          <w:b/>
          <w:bCs/>
          <w:sz w:val="32"/>
          <w:szCs w:val="32"/>
        </w:rPr>
        <w:t>家居五金。</w:t>
      </w:r>
      <w:r>
        <w:rPr>
          <w:rFonts w:eastAsia="方正仿宋_GBK"/>
          <w:sz w:val="32"/>
          <w:szCs w:val="32"/>
        </w:rPr>
        <w:t>重点开发高档次、节能型新产品，加快实现定制化、模块化、功能化。支持固豪木业、好年华家居、希格玛木业、顾臣门窗等家居企业，开发高档厨柜家具五金、易拆装家居装饰五金、节能型门窗及配件、新材料管件及智能安全阀门等新产品。引进德国、意大利等国家建筑五金快拆装、缓冲阻尼器等先进技术和一流自动化生产线设备，加大索菲亚、梦天木门、美克美家、新良田等企业招引力度，拓展整体定制业务。</w:t>
      </w:r>
    </w:p>
    <w:p>
      <w:pPr>
        <w:spacing w:line="594" w:lineRule="exact"/>
        <w:ind w:firstLine="643" w:firstLineChars="200"/>
        <w:rPr>
          <w:rFonts w:eastAsia="方正仿宋_GBK"/>
          <w:sz w:val="32"/>
          <w:szCs w:val="32"/>
        </w:rPr>
      </w:pPr>
      <w:r>
        <w:rPr>
          <w:rFonts w:eastAsia="方正仿宋_GBK"/>
          <w:b/>
          <w:bCs/>
          <w:sz w:val="32"/>
          <w:szCs w:val="32"/>
        </w:rPr>
        <w:t>农机五金。</w:t>
      </w:r>
      <w:r>
        <w:rPr>
          <w:rFonts w:eastAsia="方正仿宋_GBK"/>
          <w:sz w:val="32"/>
          <w:szCs w:val="32"/>
        </w:rPr>
        <w:t>以环保、节能小型通用的农林机械为主攻方向，重点培育发展智能化履带拖拉机、多功能高速插秧机、小型收割机、微耕机等成台套田间作业装备。开发一批适合西南丘陵地形特点和深水田作业的新型智能微耕机，加大适用于稻谷、玉米、麦粒等脱粒机、扬风机研发力度，引领带动农用机械产业发展。</w:t>
      </w:r>
    </w:p>
    <w:p>
      <w:pPr>
        <w:spacing w:line="594" w:lineRule="exact"/>
        <w:ind w:firstLine="643" w:firstLineChars="200"/>
        <w:rPr>
          <w:rFonts w:eastAsia="方正仿宋_GBK"/>
          <w:sz w:val="32"/>
          <w:szCs w:val="32"/>
        </w:rPr>
      </w:pPr>
      <w:r>
        <w:rPr>
          <w:rFonts w:eastAsia="方正仿宋_GBK"/>
          <w:b/>
          <w:bCs/>
          <w:sz w:val="32"/>
          <w:szCs w:val="32"/>
        </w:rPr>
        <w:t>其他五金。</w:t>
      </w:r>
      <w:r>
        <w:rPr>
          <w:rFonts w:eastAsia="方正仿宋_GBK"/>
          <w:sz w:val="32"/>
          <w:szCs w:val="32"/>
        </w:rPr>
        <w:t>重点发展精密模具、高档灯饰、家庭装饰小五金等，积极引进高端智能五金模具、塑料模具、智能锁具等项目，建设灯饰产业园。探索五金产业与文创产业联动，引导五金产品与大足石刻融合，以个性化定制等模式发展大足石刻五金纪念品，积极对接天美工作室、可可豆、重庆电影集团等企业，争取承接游戏、动漫、影视领域装饰刀、小五金等文创衍生品。</w:t>
      </w:r>
    </w:p>
    <w:p>
      <w:pPr>
        <w:pStyle w:val="7"/>
        <w:spacing w:after="120" w:afterLines="50" w:line="594" w:lineRule="exact"/>
        <w:ind w:left="0"/>
        <w:jc w:val="center"/>
        <w:rPr>
          <w:rFonts w:eastAsia="方正仿宋_GBK"/>
          <w:b/>
          <w:bCs/>
          <w:sz w:val="28"/>
          <w:szCs w:val="28"/>
        </w:rPr>
      </w:pPr>
      <w:r>
        <w:rPr>
          <w:rFonts w:eastAsia="方正仿宋_GBK"/>
          <w:b/>
          <w:bCs/>
          <w:sz w:val="28"/>
          <w:szCs w:val="28"/>
        </w:rPr>
        <w:t>专栏1 五金产业</w:t>
      </w:r>
      <w:bookmarkStart w:id="34" w:name="_Hlk95465007"/>
      <w:r>
        <w:rPr>
          <w:rFonts w:eastAsia="方正仿宋_GBK"/>
          <w:b/>
          <w:bCs/>
          <w:sz w:val="28"/>
          <w:szCs w:val="28"/>
        </w:rPr>
        <w:t>发展方向、重点产品及企业</w:t>
      </w:r>
      <w:bookmarkEnd w:id="34"/>
    </w:p>
    <w:tbl>
      <w:tblPr>
        <w:tblStyle w:val="9"/>
        <w:tblW w:w="9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43"/>
        <w:gridCol w:w="4536"/>
        <w:gridCol w:w="3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blHeader/>
          <w:jc w:val="center"/>
        </w:trPr>
        <w:tc>
          <w:tcPr>
            <w:tcW w:w="1343" w:type="dxa"/>
            <w:tcMar>
              <w:top w:w="10" w:type="dxa"/>
              <w:left w:w="10" w:type="dxa"/>
              <w:right w:w="10" w:type="dxa"/>
            </w:tcMar>
            <w:vAlign w:val="center"/>
          </w:tcPr>
          <w:p>
            <w:pPr>
              <w:jc w:val="center"/>
              <w:textAlignment w:val="top"/>
              <w:rPr>
                <w:rFonts w:eastAsia="方正仿宋_GBK"/>
                <w:b/>
                <w:sz w:val="24"/>
                <w:szCs w:val="24"/>
              </w:rPr>
            </w:pPr>
            <w:r>
              <w:rPr>
                <w:rFonts w:eastAsia="方正仿宋_GBK"/>
                <w:b/>
                <w:kern w:val="0"/>
                <w:sz w:val="24"/>
                <w:szCs w:val="24"/>
                <w:lang w:bidi="ar"/>
              </w:rPr>
              <w:t>类别</w:t>
            </w:r>
          </w:p>
        </w:tc>
        <w:tc>
          <w:tcPr>
            <w:tcW w:w="4536" w:type="dxa"/>
            <w:tcMar>
              <w:top w:w="10" w:type="dxa"/>
              <w:left w:w="10" w:type="dxa"/>
              <w:right w:w="10" w:type="dxa"/>
            </w:tcMar>
            <w:vAlign w:val="center"/>
          </w:tcPr>
          <w:p>
            <w:pPr>
              <w:jc w:val="center"/>
              <w:textAlignment w:val="top"/>
              <w:rPr>
                <w:rFonts w:eastAsia="方正仿宋_GBK"/>
                <w:b/>
                <w:sz w:val="24"/>
                <w:szCs w:val="24"/>
              </w:rPr>
            </w:pPr>
            <w:bookmarkStart w:id="35" w:name="_Hlk95125096"/>
            <w:r>
              <w:rPr>
                <w:rFonts w:eastAsia="方正仿宋_GBK"/>
                <w:b/>
                <w:kern w:val="0"/>
                <w:sz w:val="24"/>
                <w:szCs w:val="24"/>
                <w:lang w:bidi="ar"/>
              </w:rPr>
              <w:t>发展方向</w:t>
            </w:r>
            <w:bookmarkEnd w:id="35"/>
            <w:r>
              <w:rPr>
                <w:rFonts w:eastAsia="方正仿宋_GBK"/>
                <w:b/>
                <w:kern w:val="0"/>
                <w:sz w:val="24"/>
                <w:szCs w:val="24"/>
                <w:lang w:bidi="ar"/>
              </w:rPr>
              <w:t>及重点产品</w:t>
            </w:r>
          </w:p>
        </w:tc>
        <w:tc>
          <w:tcPr>
            <w:tcW w:w="3327" w:type="dxa"/>
            <w:vAlign w:val="center"/>
          </w:tcPr>
          <w:p>
            <w:pPr>
              <w:jc w:val="center"/>
              <w:textAlignment w:val="top"/>
              <w:rPr>
                <w:rFonts w:eastAsia="方正仿宋_GBK"/>
                <w:b/>
                <w:kern w:val="0"/>
                <w:sz w:val="24"/>
                <w:szCs w:val="24"/>
                <w:lang w:bidi="ar"/>
              </w:rPr>
            </w:pPr>
            <w:r>
              <w:rPr>
                <w:rFonts w:eastAsia="方正仿宋_GBK"/>
                <w:b/>
                <w:kern w:val="0"/>
                <w:sz w:val="24"/>
                <w:szCs w:val="24"/>
                <w:lang w:bidi="ar"/>
              </w:rPr>
              <w:t>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1" w:hRule="atLeast"/>
          <w:jc w:val="center"/>
        </w:trPr>
        <w:tc>
          <w:tcPr>
            <w:tcW w:w="1343" w:type="dxa"/>
            <w:tcMar>
              <w:top w:w="10" w:type="dxa"/>
              <w:left w:w="10" w:type="dxa"/>
              <w:right w:w="10" w:type="dxa"/>
            </w:tcMar>
            <w:vAlign w:val="center"/>
          </w:tcPr>
          <w:p>
            <w:pPr>
              <w:jc w:val="center"/>
              <w:textAlignment w:val="center"/>
              <w:rPr>
                <w:rFonts w:eastAsia="方正仿宋_GBK"/>
                <w:b/>
                <w:sz w:val="24"/>
                <w:szCs w:val="24"/>
              </w:rPr>
            </w:pPr>
            <w:r>
              <w:rPr>
                <w:rFonts w:eastAsia="方正仿宋_GBK"/>
                <w:kern w:val="0"/>
                <w:sz w:val="24"/>
                <w:szCs w:val="24"/>
                <w:lang w:bidi="ar"/>
              </w:rPr>
              <w:t>日用五金</w:t>
            </w:r>
          </w:p>
        </w:tc>
        <w:tc>
          <w:tcPr>
            <w:tcW w:w="4536" w:type="dxa"/>
            <w:tcMar>
              <w:top w:w="10" w:type="dxa"/>
              <w:left w:w="10" w:type="dxa"/>
              <w:right w:w="10" w:type="dxa"/>
            </w:tcMar>
            <w:vAlign w:val="center"/>
          </w:tcPr>
          <w:p>
            <w:pPr>
              <w:textAlignment w:val="center"/>
              <w:rPr>
                <w:rFonts w:eastAsia="方正仿宋_GBK"/>
                <w:kern w:val="0"/>
                <w:sz w:val="24"/>
                <w:szCs w:val="24"/>
                <w:lang w:bidi="ar"/>
              </w:rPr>
            </w:pPr>
            <w:r>
              <w:rPr>
                <w:rFonts w:eastAsia="方正仿宋_GBK"/>
                <w:kern w:val="0"/>
                <w:sz w:val="24"/>
                <w:szCs w:val="24"/>
                <w:lang w:bidi="ar"/>
              </w:rPr>
              <w:t>刀剪、指甲刀、钥匙扣、精品小刀等刀剪五金，电饭煲、电磁炉、豆浆机、个人护理器具、智能保温杯、节能型不粘锅、智能厨具小家电等精品小家电五金。</w:t>
            </w:r>
          </w:p>
        </w:tc>
        <w:tc>
          <w:tcPr>
            <w:tcW w:w="3327" w:type="dxa"/>
            <w:vAlign w:val="center"/>
          </w:tcPr>
          <w:p>
            <w:pPr>
              <w:textAlignment w:val="center"/>
              <w:rPr>
                <w:rFonts w:eastAsia="方正仿宋_GBK"/>
                <w:kern w:val="0"/>
                <w:sz w:val="24"/>
                <w:szCs w:val="24"/>
                <w:lang w:bidi="ar"/>
              </w:rPr>
            </w:pPr>
            <w:r>
              <w:rPr>
                <w:rFonts w:eastAsia="方正仿宋_GBK"/>
                <w:kern w:val="0"/>
                <w:sz w:val="24"/>
                <w:szCs w:val="24"/>
                <w:u w:val="single"/>
                <w:lang w:bidi="ar"/>
              </w:rPr>
              <w:t>邓氏、桥丰、永利、金忠、</w:t>
            </w:r>
            <w:r>
              <w:rPr>
                <w:rFonts w:eastAsia="方正仿宋_GBK"/>
                <w:kern w:val="0"/>
                <w:sz w:val="24"/>
                <w:szCs w:val="24"/>
                <w:lang w:bidi="ar"/>
              </w:rPr>
              <w:t>十八子作、双立人、德迈、张小泉等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1" w:hRule="atLeast"/>
          <w:jc w:val="center"/>
        </w:trPr>
        <w:tc>
          <w:tcPr>
            <w:tcW w:w="1343" w:type="dxa"/>
            <w:tcMar>
              <w:top w:w="10" w:type="dxa"/>
              <w:left w:w="10" w:type="dxa"/>
              <w:right w:w="10" w:type="dxa"/>
            </w:tcMar>
            <w:vAlign w:val="center"/>
          </w:tcPr>
          <w:p>
            <w:pPr>
              <w:jc w:val="center"/>
              <w:textAlignment w:val="center"/>
              <w:rPr>
                <w:rFonts w:eastAsia="方正仿宋_GBK"/>
                <w:b/>
                <w:sz w:val="24"/>
                <w:szCs w:val="24"/>
              </w:rPr>
            </w:pPr>
            <w:r>
              <w:rPr>
                <w:rFonts w:eastAsia="方正仿宋_GBK"/>
                <w:kern w:val="0"/>
                <w:sz w:val="24"/>
                <w:szCs w:val="24"/>
                <w:lang w:bidi="ar"/>
              </w:rPr>
              <w:t>工具五金</w:t>
            </w:r>
          </w:p>
        </w:tc>
        <w:tc>
          <w:tcPr>
            <w:tcW w:w="4536" w:type="dxa"/>
            <w:tcMar>
              <w:top w:w="10" w:type="dxa"/>
              <w:left w:w="10" w:type="dxa"/>
              <w:right w:w="10" w:type="dxa"/>
            </w:tcMar>
            <w:vAlign w:val="center"/>
          </w:tcPr>
          <w:p>
            <w:pPr>
              <w:textAlignment w:val="center"/>
              <w:rPr>
                <w:rFonts w:eastAsia="方正仿宋_GBK"/>
                <w:sz w:val="24"/>
                <w:szCs w:val="24"/>
              </w:rPr>
            </w:pPr>
            <w:r>
              <w:rPr>
                <w:rFonts w:eastAsia="方正仿宋_GBK"/>
                <w:sz w:val="24"/>
                <w:szCs w:val="24"/>
              </w:rPr>
              <w:t>角磨机工具系列、电钻工具系列、锤镐工具系列、切割工具系列、五金工具、工具套装、电钻、电锤、电镐、角磨机、抛光机、切割机、电动扳手等。</w:t>
            </w:r>
          </w:p>
        </w:tc>
        <w:tc>
          <w:tcPr>
            <w:tcW w:w="3327" w:type="dxa"/>
            <w:vAlign w:val="center"/>
          </w:tcPr>
          <w:p>
            <w:pPr>
              <w:textAlignment w:val="center"/>
              <w:rPr>
                <w:rFonts w:eastAsia="方正仿宋_GBK"/>
                <w:sz w:val="24"/>
                <w:szCs w:val="24"/>
              </w:rPr>
            </w:pPr>
            <w:r>
              <w:rPr>
                <w:rFonts w:eastAsia="方正仿宋_GBK"/>
                <w:sz w:val="24"/>
                <w:szCs w:val="24"/>
                <w:u w:val="single"/>
              </w:rPr>
              <w:t>渝足、前程、明友、翔锋、澳林、</w:t>
            </w:r>
            <w:r>
              <w:rPr>
                <w:rFonts w:eastAsia="方正仿宋_GBK"/>
                <w:sz w:val="24"/>
                <w:szCs w:val="24"/>
              </w:rPr>
              <w:t>博世、奥奔、科麦斯、世达等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1" w:hRule="atLeast"/>
          <w:jc w:val="center"/>
        </w:trPr>
        <w:tc>
          <w:tcPr>
            <w:tcW w:w="1343" w:type="dxa"/>
            <w:tcMar>
              <w:top w:w="10" w:type="dxa"/>
              <w:left w:w="10" w:type="dxa"/>
              <w:right w:w="10" w:type="dxa"/>
            </w:tcMar>
            <w:vAlign w:val="center"/>
          </w:tcPr>
          <w:p>
            <w:pPr>
              <w:jc w:val="center"/>
              <w:textAlignment w:val="center"/>
              <w:rPr>
                <w:rFonts w:eastAsia="方正仿宋_GBK"/>
                <w:kern w:val="0"/>
                <w:sz w:val="24"/>
                <w:szCs w:val="24"/>
                <w:lang w:bidi="ar"/>
              </w:rPr>
            </w:pPr>
            <w:r>
              <w:rPr>
                <w:rFonts w:eastAsia="方正仿宋_GBK"/>
                <w:kern w:val="0"/>
                <w:sz w:val="24"/>
                <w:szCs w:val="24"/>
                <w:lang w:bidi="ar"/>
              </w:rPr>
              <w:t>家居五金</w:t>
            </w:r>
          </w:p>
        </w:tc>
        <w:tc>
          <w:tcPr>
            <w:tcW w:w="4536" w:type="dxa"/>
            <w:tcMar>
              <w:top w:w="10" w:type="dxa"/>
              <w:left w:w="10" w:type="dxa"/>
              <w:right w:w="10" w:type="dxa"/>
            </w:tcMar>
            <w:vAlign w:val="center"/>
          </w:tcPr>
          <w:p>
            <w:pPr>
              <w:textAlignment w:val="center"/>
              <w:rPr>
                <w:rFonts w:eastAsia="方正仿宋_GBK"/>
                <w:kern w:val="0"/>
                <w:sz w:val="24"/>
                <w:szCs w:val="24"/>
                <w:lang w:bidi="ar"/>
              </w:rPr>
            </w:pPr>
            <w:r>
              <w:rPr>
                <w:rFonts w:eastAsia="方正仿宋_GBK"/>
                <w:sz w:val="24"/>
                <w:szCs w:val="24"/>
              </w:rPr>
              <w:t>高档厨柜家具五金、易拆装家居装饰五金、节能型门窗及配件</w:t>
            </w:r>
            <w:bookmarkStart w:id="36" w:name="_Hlk96678297"/>
            <w:r>
              <w:rPr>
                <w:rFonts w:eastAsia="方正仿宋_GBK"/>
                <w:sz w:val="24"/>
                <w:szCs w:val="24"/>
              </w:rPr>
              <w:t>、新材料管件及阀门</w:t>
            </w:r>
            <w:bookmarkEnd w:id="36"/>
            <w:r>
              <w:rPr>
                <w:rFonts w:eastAsia="方正仿宋_GBK"/>
                <w:sz w:val="24"/>
                <w:szCs w:val="24"/>
              </w:rPr>
              <w:t>等。</w:t>
            </w:r>
          </w:p>
        </w:tc>
        <w:tc>
          <w:tcPr>
            <w:tcW w:w="3327" w:type="dxa"/>
            <w:vAlign w:val="center"/>
          </w:tcPr>
          <w:p>
            <w:pPr>
              <w:textAlignment w:val="center"/>
              <w:rPr>
                <w:rFonts w:eastAsia="方正仿宋_GBK"/>
                <w:kern w:val="0"/>
                <w:sz w:val="24"/>
                <w:szCs w:val="24"/>
                <w:lang w:bidi="ar"/>
              </w:rPr>
            </w:pPr>
            <w:r>
              <w:rPr>
                <w:rFonts w:eastAsia="方正仿宋_GBK"/>
                <w:kern w:val="0"/>
                <w:sz w:val="24"/>
                <w:szCs w:val="24"/>
                <w:u w:val="single"/>
                <w:lang w:bidi="ar"/>
              </w:rPr>
              <w:t>固豪、好年华、财艺、泰桦、顾臣、信安、</w:t>
            </w:r>
            <w:r>
              <w:rPr>
                <w:rFonts w:eastAsia="方正仿宋_GBK"/>
                <w:kern w:val="0"/>
                <w:sz w:val="24"/>
                <w:szCs w:val="24"/>
                <w:lang w:bidi="ar"/>
              </w:rPr>
              <w:t>索菲亚、梦天、美联兴、九牧、摩恩、帝朗、卡贝、百隆等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43" w:type="dxa"/>
            <w:tcMar>
              <w:top w:w="10" w:type="dxa"/>
              <w:left w:w="10" w:type="dxa"/>
              <w:right w:w="10" w:type="dxa"/>
            </w:tcMar>
            <w:vAlign w:val="center"/>
          </w:tcPr>
          <w:p>
            <w:pPr>
              <w:jc w:val="center"/>
              <w:textAlignment w:val="center"/>
              <w:rPr>
                <w:rFonts w:eastAsia="方正仿宋_GBK"/>
                <w:b/>
                <w:sz w:val="24"/>
                <w:szCs w:val="24"/>
              </w:rPr>
            </w:pPr>
            <w:r>
              <w:rPr>
                <w:rFonts w:eastAsia="方正仿宋_GBK"/>
                <w:kern w:val="0"/>
                <w:sz w:val="24"/>
                <w:szCs w:val="24"/>
                <w:lang w:bidi="ar"/>
              </w:rPr>
              <w:t>农机五金</w:t>
            </w:r>
          </w:p>
        </w:tc>
        <w:tc>
          <w:tcPr>
            <w:tcW w:w="4536" w:type="dxa"/>
            <w:tcMar>
              <w:top w:w="10" w:type="dxa"/>
              <w:left w:w="10" w:type="dxa"/>
              <w:right w:w="10" w:type="dxa"/>
            </w:tcMar>
            <w:vAlign w:val="center"/>
          </w:tcPr>
          <w:p>
            <w:pPr>
              <w:textAlignment w:val="center"/>
              <w:rPr>
                <w:rFonts w:eastAsia="方正仿宋_GBK"/>
                <w:kern w:val="0"/>
                <w:sz w:val="24"/>
                <w:szCs w:val="24"/>
                <w:lang w:bidi="ar"/>
              </w:rPr>
            </w:pPr>
            <w:r>
              <w:rPr>
                <w:rFonts w:eastAsia="方正仿宋_GBK"/>
                <w:kern w:val="0"/>
                <w:sz w:val="24"/>
                <w:szCs w:val="24"/>
                <w:lang w:bidi="ar"/>
              </w:rPr>
              <w:t>农机通机、汽车，微耕机、田园管理机、柴油发电机组、柴油机水泵机等。</w:t>
            </w:r>
          </w:p>
        </w:tc>
        <w:tc>
          <w:tcPr>
            <w:tcW w:w="3327" w:type="dxa"/>
            <w:vAlign w:val="center"/>
          </w:tcPr>
          <w:p>
            <w:pPr>
              <w:textAlignment w:val="center"/>
              <w:rPr>
                <w:rFonts w:eastAsia="方正仿宋_GBK"/>
                <w:kern w:val="0"/>
                <w:sz w:val="24"/>
                <w:szCs w:val="24"/>
                <w:u w:val="single"/>
                <w:lang w:bidi="ar"/>
              </w:rPr>
            </w:pPr>
            <w:r>
              <w:rPr>
                <w:rFonts w:eastAsia="方正仿宋_GBK"/>
                <w:kern w:val="0"/>
                <w:sz w:val="24"/>
                <w:szCs w:val="24"/>
                <w:u w:val="single"/>
                <w:lang w:bidi="ar"/>
              </w:rPr>
              <w:t>长宝田、田坡、洪宇、凯越、</w:t>
            </w:r>
            <w:r>
              <w:rPr>
                <w:rFonts w:eastAsia="方正仿宋_GBK"/>
                <w:kern w:val="0"/>
                <w:sz w:val="24"/>
                <w:szCs w:val="24"/>
                <w:lang w:bidi="ar"/>
              </w:rPr>
              <w:t>华德精工等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1343" w:type="dxa"/>
            <w:tcMar>
              <w:top w:w="10" w:type="dxa"/>
              <w:left w:w="10" w:type="dxa"/>
              <w:right w:w="10" w:type="dxa"/>
            </w:tcMar>
            <w:vAlign w:val="center"/>
          </w:tcPr>
          <w:p>
            <w:pPr>
              <w:jc w:val="center"/>
              <w:textAlignment w:val="center"/>
              <w:rPr>
                <w:rFonts w:eastAsia="方正仿宋_GBK"/>
                <w:kern w:val="0"/>
                <w:sz w:val="24"/>
                <w:szCs w:val="24"/>
                <w:lang w:bidi="ar"/>
              </w:rPr>
            </w:pPr>
            <w:r>
              <w:rPr>
                <w:rFonts w:eastAsia="方正仿宋_GBK"/>
                <w:kern w:val="0"/>
                <w:sz w:val="24"/>
                <w:szCs w:val="24"/>
                <w:lang w:bidi="ar"/>
              </w:rPr>
              <w:t>其他五金</w:t>
            </w:r>
          </w:p>
        </w:tc>
        <w:tc>
          <w:tcPr>
            <w:tcW w:w="4536" w:type="dxa"/>
            <w:tcMar>
              <w:top w:w="10" w:type="dxa"/>
              <w:left w:w="10" w:type="dxa"/>
              <w:right w:w="10" w:type="dxa"/>
            </w:tcMar>
            <w:vAlign w:val="center"/>
          </w:tcPr>
          <w:p>
            <w:pPr>
              <w:textAlignment w:val="center"/>
              <w:rPr>
                <w:rFonts w:eastAsia="方正仿宋_GBK"/>
                <w:sz w:val="24"/>
                <w:szCs w:val="24"/>
              </w:rPr>
            </w:pPr>
            <w:r>
              <w:rPr>
                <w:rFonts w:eastAsia="方正仿宋_GBK"/>
                <w:sz w:val="24"/>
                <w:szCs w:val="24"/>
              </w:rPr>
              <w:t>精密模具、家庭装饰小五金、智能锁具、五金文创衍生品等。</w:t>
            </w:r>
          </w:p>
        </w:tc>
        <w:tc>
          <w:tcPr>
            <w:tcW w:w="3327" w:type="dxa"/>
            <w:vAlign w:val="center"/>
          </w:tcPr>
          <w:p>
            <w:pPr>
              <w:textAlignment w:val="center"/>
              <w:rPr>
                <w:rFonts w:eastAsia="方正仿宋_GBK"/>
                <w:sz w:val="24"/>
                <w:szCs w:val="24"/>
              </w:rPr>
            </w:pPr>
            <w:r>
              <w:rPr>
                <w:rFonts w:eastAsia="方正仿宋_GBK"/>
                <w:sz w:val="24"/>
                <w:szCs w:val="24"/>
                <w:u w:val="single"/>
              </w:rPr>
              <w:t>益美、海龙、</w:t>
            </w:r>
            <w:r>
              <w:rPr>
                <w:rFonts w:eastAsia="方正仿宋_GBK"/>
                <w:sz w:val="24"/>
                <w:szCs w:val="24"/>
              </w:rPr>
              <w:t>方正模具、米勒模具、恒滨模具等</w:t>
            </w:r>
          </w:p>
        </w:tc>
      </w:tr>
    </w:tbl>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2．汽摩产业集群</w:t>
      </w:r>
    </w:p>
    <w:p>
      <w:pPr>
        <w:spacing w:line="594" w:lineRule="exact"/>
        <w:ind w:firstLine="640" w:firstLineChars="200"/>
        <w:rPr>
          <w:rFonts w:eastAsia="方正仿宋_GBK"/>
          <w:sz w:val="32"/>
          <w:szCs w:val="32"/>
        </w:rPr>
      </w:pPr>
      <w:r>
        <w:rPr>
          <w:rFonts w:eastAsia="方正仿宋_GBK"/>
          <w:sz w:val="32"/>
          <w:szCs w:val="32"/>
        </w:rPr>
        <w:t>顺应高端化、轻量化、电动化、智能化发展趋势，按照“突出优势、填补空白、完善链条、紧跟前沿”的发展思路，推动企业技改扩能，支持专用车、摩托车整车企业发展壮大，积极引进汽车整车及核心零部件企业，前瞻布局无人驾驶、智能网联汽车、高端新能源等前沿领域，建成全市重要的汽摩生产基地。到2025年，汽摩产业工业总产值达到600亿元，规上工业总产值达到450亿元。</w:t>
      </w:r>
    </w:p>
    <w:p>
      <w:pPr>
        <w:spacing w:line="594" w:lineRule="exact"/>
        <w:ind w:firstLine="643" w:firstLineChars="200"/>
        <w:rPr>
          <w:rFonts w:eastAsia="方正仿宋_GBK"/>
          <w:sz w:val="32"/>
          <w:szCs w:val="32"/>
        </w:rPr>
      </w:pPr>
      <w:r>
        <w:rPr>
          <w:rFonts w:eastAsia="方正仿宋_GBK"/>
          <w:b/>
          <w:bCs/>
          <w:sz w:val="32"/>
          <w:szCs w:val="32"/>
        </w:rPr>
        <w:t>专用车。</w:t>
      </w:r>
      <w:r>
        <w:rPr>
          <w:rFonts w:eastAsia="方正仿宋_GBK"/>
          <w:sz w:val="32"/>
          <w:szCs w:val="32"/>
        </w:rPr>
        <w:t>以做大做强专用车为核心，大力引进依维柯、中联重科等重点专用车企业，支持重汽专用车、凯瑞特种车、军通汽车等技改升级，加大工程车、环卫车、物流车、自卸车、冷藏车、房车等专用车开发力度。依托中国汽研、重汽专用车等检测及生产资源，建设西部专用车研究院，提高专用车生产企业的前端设计能力和技术开发能力。结合专用车市场需求的变动趋势，进一步细分市场，提高企业定制化生产能力，优化专用车生产结构，寻找新的市场增长点。推进军民产业融合发展，承接部队专用车整车及零部件生产。</w:t>
      </w:r>
    </w:p>
    <w:p>
      <w:pPr>
        <w:spacing w:line="594" w:lineRule="exact"/>
        <w:ind w:firstLine="643" w:firstLineChars="200"/>
        <w:rPr>
          <w:rFonts w:eastAsia="方正仿宋_GBK"/>
          <w:sz w:val="32"/>
          <w:szCs w:val="32"/>
        </w:rPr>
      </w:pPr>
      <w:r>
        <w:rPr>
          <w:rFonts w:eastAsia="方正仿宋_GBK"/>
          <w:b/>
          <w:bCs/>
          <w:sz w:val="32"/>
          <w:szCs w:val="32"/>
        </w:rPr>
        <w:t>汽车零部件。</w:t>
      </w:r>
      <w:r>
        <w:rPr>
          <w:rFonts w:eastAsia="方正仿宋_GBK"/>
          <w:sz w:val="32"/>
          <w:szCs w:val="32"/>
        </w:rPr>
        <w:t>依托汽车制造基础，积极向前端和后端延伸产业链，推动双马、双钱、凯恩、国恩、瑞韩、鞍钢贝卡尔特等企业在技术、材料、工艺、零部件等核心环节实现突破，积极引进发动机、变速箱、车载电子等关键零部件项目，形成完备的商用车零部件产业体系。紧跟汽车产业轻量化发展趋势，鼓励本地铸造业企业提升技术研发实力，做优控制臂、副车架、防撞梁等现有产品，大力发展全铝合金车厢、钢铝混合车身、铝合金轮毂、转向节等铝合金精密压铸件。</w:t>
      </w:r>
    </w:p>
    <w:p>
      <w:pPr>
        <w:spacing w:line="594" w:lineRule="exact"/>
        <w:ind w:firstLine="643" w:firstLineChars="200"/>
        <w:rPr>
          <w:rFonts w:eastAsia="方正仿宋_GBK"/>
          <w:sz w:val="32"/>
          <w:szCs w:val="32"/>
        </w:rPr>
      </w:pPr>
      <w:r>
        <w:rPr>
          <w:rFonts w:eastAsia="方正仿宋_GBK"/>
          <w:b/>
          <w:bCs/>
          <w:sz w:val="32"/>
          <w:szCs w:val="32"/>
        </w:rPr>
        <w:t>新能源汽车。</w:t>
      </w:r>
      <w:r>
        <w:rPr>
          <w:rFonts w:eastAsia="方正仿宋_GBK"/>
          <w:sz w:val="32"/>
          <w:szCs w:val="32"/>
        </w:rPr>
        <w:t>紧跟汽车行业电动化发展趋势，支持现有企业加大电动汽车及关键零部件的研发投入，探索引进动力电池正极材料、隔膜、电解液、组装等领域核心企业，积极布局电空调、电转向、电制动等“小三电”企业，构建以动力电池为核心的新能源汽车配套产业集群。紧密追踪燃料电池汽车的技术进展和商业化应用情况，择机布局燃料电池发动机、燃料电池电堆及组件、氢气循环系统、空气循环系统、电堆、水热管理系统、储氢瓶等燃料电池汽车零部件生产企业，打造新能源汽车产业链。</w:t>
      </w:r>
    </w:p>
    <w:p>
      <w:pPr>
        <w:spacing w:line="594" w:lineRule="exact"/>
        <w:ind w:firstLine="643" w:firstLineChars="200"/>
        <w:rPr>
          <w:rFonts w:eastAsia="方正仿宋_GBK"/>
          <w:sz w:val="32"/>
          <w:szCs w:val="32"/>
        </w:rPr>
      </w:pPr>
      <w:r>
        <w:rPr>
          <w:rFonts w:eastAsia="方正仿宋_GBK"/>
          <w:b/>
          <w:bCs/>
          <w:sz w:val="32"/>
          <w:szCs w:val="32"/>
        </w:rPr>
        <w:t>智能网联汽车。</w:t>
      </w:r>
      <w:r>
        <w:rPr>
          <w:rFonts w:eastAsia="方正仿宋_GBK"/>
          <w:sz w:val="32"/>
          <w:szCs w:val="32"/>
        </w:rPr>
        <w:t>推动中国汽研智能网联汽车试验基地创建智能网联汽车国家级制造业创新中心，建设完善协同开发平台、公共研发平台、配套资源共享平台等，满足汽车整车开发、验证、法规试验测评需求，推动大足智能网联汽车产业有序发展。积极开展客车轿车专项测评、重型汽车专项测评和智能网联汽车专项测评，逐步形成“封闭测试场—开放测试道路—开放测试区”三级测试验证能力。大力推动智能网联汽车环境融合感知、智能网联决策控制、复杂系统重构设计、智能网联安全和多模式测试评价等核心技术研发。探索发展智能网联汽车配件及路侧智能设施等关联配件，培育发展无人驾驶物流、共享出行等智能网联汽车服务新业态。</w:t>
      </w:r>
    </w:p>
    <w:p>
      <w:pPr>
        <w:spacing w:line="594" w:lineRule="exact"/>
        <w:ind w:firstLine="643" w:firstLineChars="200"/>
        <w:rPr>
          <w:rFonts w:eastAsia="方正仿宋_GBK"/>
          <w:sz w:val="32"/>
          <w:szCs w:val="32"/>
        </w:rPr>
      </w:pPr>
      <w:r>
        <w:rPr>
          <w:rFonts w:eastAsia="方正仿宋_GBK"/>
          <w:b/>
          <w:bCs/>
          <w:sz w:val="32"/>
          <w:szCs w:val="32"/>
        </w:rPr>
        <w:t>摩托车。</w:t>
      </w:r>
      <w:r>
        <w:rPr>
          <w:rFonts w:eastAsia="方正仿宋_GBK"/>
          <w:sz w:val="32"/>
          <w:szCs w:val="32"/>
        </w:rPr>
        <w:t>支持台铃、金箭、大隆宇丰、荣爵等摩托车整车企业围绕新能源摩托车、休闲娱乐机车等开展产品转型。积极引进雅佳达、旭派电池、星恒电源、远星轮胎等企业，壮大行走系统、转向制动系统、传动系统等领域实力。聚焦电动车整车及电池、轮胎、发动机、变速箱、减震系统、电器仪表、覆盖件等核心零部件，推动高效节能新能源电机、发动机、继电器、压铸件等关键环节核心技术攻关，扩大电动摩托车配件生产，探索打造电动摩托车配套产业园。</w:t>
      </w:r>
    </w:p>
    <w:p>
      <w:pPr>
        <w:pStyle w:val="7"/>
        <w:spacing w:after="120" w:afterLines="50" w:line="594" w:lineRule="exact"/>
        <w:ind w:left="0"/>
        <w:jc w:val="center"/>
        <w:rPr>
          <w:rFonts w:eastAsia="方正仿宋_GBK"/>
          <w:b/>
          <w:bCs/>
          <w:sz w:val="28"/>
          <w:szCs w:val="28"/>
        </w:rPr>
      </w:pPr>
      <w:r>
        <w:rPr>
          <w:rFonts w:eastAsia="方正仿宋_GBK"/>
          <w:b/>
          <w:bCs/>
          <w:sz w:val="28"/>
          <w:szCs w:val="28"/>
        </w:rPr>
        <w:t>专栏2  汽摩产业发展方向、重点产品及企业</w:t>
      </w:r>
    </w:p>
    <w:tbl>
      <w:tblPr>
        <w:tblStyle w:val="9"/>
        <w:tblW w:w="89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72"/>
        <w:gridCol w:w="3635"/>
        <w:gridCol w:w="4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blHeader/>
          <w:jc w:val="center"/>
        </w:trPr>
        <w:tc>
          <w:tcPr>
            <w:tcW w:w="972" w:type="dxa"/>
            <w:tcMar>
              <w:top w:w="10" w:type="dxa"/>
              <w:left w:w="10" w:type="dxa"/>
              <w:right w:w="10" w:type="dxa"/>
            </w:tcMar>
            <w:vAlign w:val="center"/>
          </w:tcPr>
          <w:p>
            <w:pPr>
              <w:widowControl/>
              <w:jc w:val="center"/>
              <w:textAlignment w:val="top"/>
              <w:rPr>
                <w:rFonts w:eastAsia="方正仿宋_GBK"/>
                <w:b/>
                <w:sz w:val="24"/>
                <w:szCs w:val="24"/>
              </w:rPr>
            </w:pPr>
            <w:r>
              <w:rPr>
                <w:rFonts w:eastAsia="方正仿宋_GBK"/>
                <w:b/>
                <w:kern w:val="0"/>
                <w:sz w:val="24"/>
                <w:szCs w:val="24"/>
                <w:lang w:bidi="ar"/>
              </w:rPr>
              <w:t>类别</w:t>
            </w:r>
          </w:p>
        </w:tc>
        <w:tc>
          <w:tcPr>
            <w:tcW w:w="3635" w:type="dxa"/>
            <w:tcMar>
              <w:top w:w="10" w:type="dxa"/>
              <w:left w:w="10" w:type="dxa"/>
              <w:right w:w="10" w:type="dxa"/>
            </w:tcMar>
            <w:vAlign w:val="center"/>
          </w:tcPr>
          <w:p>
            <w:pPr>
              <w:widowControl/>
              <w:jc w:val="center"/>
              <w:textAlignment w:val="top"/>
              <w:rPr>
                <w:rFonts w:eastAsia="方正仿宋_GBK"/>
                <w:b/>
                <w:sz w:val="24"/>
                <w:szCs w:val="24"/>
              </w:rPr>
            </w:pPr>
            <w:r>
              <w:rPr>
                <w:rFonts w:eastAsia="方正仿宋_GBK"/>
                <w:b/>
                <w:kern w:val="0"/>
                <w:sz w:val="24"/>
                <w:szCs w:val="24"/>
                <w:lang w:bidi="ar"/>
              </w:rPr>
              <w:t>发展方向及重点产品</w:t>
            </w:r>
          </w:p>
        </w:tc>
        <w:tc>
          <w:tcPr>
            <w:tcW w:w="4365" w:type="dxa"/>
            <w:vAlign w:val="center"/>
          </w:tcPr>
          <w:p>
            <w:pPr>
              <w:widowControl/>
              <w:jc w:val="center"/>
              <w:textAlignment w:val="top"/>
              <w:rPr>
                <w:rFonts w:eastAsia="方正仿宋_GBK"/>
                <w:b/>
                <w:kern w:val="0"/>
                <w:sz w:val="24"/>
                <w:szCs w:val="24"/>
                <w:lang w:bidi="ar"/>
              </w:rPr>
            </w:pPr>
            <w:r>
              <w:rPr>
                <w:rFonts w:eastAsia="方正仿宋_GBK"/>
                <w:b/>
                <w:kern w:val="0"/>
                <w:sz w:val="24"/>
                <w:szCs w:val="24"/>
                <w:lang w:bidi="ar"/>
              </w:rPr>
              <w:t>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1" w:hRule="atLeast"/>
          <w:jc w:val="center"/>
        </w:trPr>
        <w:tc>
          <w:tcPr>
            <w:tcW w:w="972" w:type="dxa"/>
            <w:tcMar>
              <w:top w:w="10" w:type="dxa"/>
              <w:left w:w="10" w:type="dxa"/>
              <w:right w:w="10" w:type="dxa"/>
            </w:tcMar>
            <w:vAlign w:val="center"/>
          </w:tcPr>
          <w:p>
            <w:pPr>
              <w:widowControl/>
              <w:jc w:val="center"/>
              <w:textAlignment w:val="center"/>
              <w:rPr>
                <w:rFonts w:eastAsia="方正仿宋_GBK"/>
                <w:bCs/>
                <w:sz w:val="24"/>
                <w:szCs w:val="24"/>
              </w:rPr>
            </w:pPr>
            <w:r>
              <w:rPr>
                <w:rFonts w:eastAsia="方正仿宋_GBK"/>
                <w:bCs/>
                <w:sz w:val="24"/>
                <w:szCs w:val="24"/>
              </w:rPr>
              <w:t>专用车</w:t>
            </w:r>
          </w:p>
        </w:tc>
        <w:tc>
          <w:tcPr>
            <w:tcW w:w="3635" w:type="dxa"/>
            <w:tcMar>
              <w:top w:w="10" w:type="dxa"/>
              <w:left w:w="10" w:type="dxa"/>
              <w:right w:w="10"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消防车、工程车、专用运输车、环卫车、半挂车、自卸车、特种结构车、专用作业车、物流车、冷藏车</w:t>
            </w:r>
          </w:p>
        </w:tc>
        <w:tc>
          <w:tcPr>
            <w:tcW w:w="4365" w:type="dxa"/>
            <w:vAlign w:val="center"/>
          </w:tcPr>
          <w:p>
            <w:pPr>
              <w:widowControl/>
              <w:textAlignment w:val="center"/>
              <w:rPr>
                <w:rFonts w:eastAsia="方正仿宋_GBK"/>
                <w:bCs/>
                <w:kern w:val="0"/>
                <w:sz w:val="24"/>
                <w:szCs w:val="24"/>
                <w:u w:val="single"/>
                <w:lang w:bidi="ar"/>
              </w:rPr>
            </w:pPr>
            <w:r>
              <w:rPr>
                <w:rFonts w:eastAsia="方正仿宋_GBK"/>
                <w:bCs/>
                <w:kern w:val="0"/>
                <w:sz w:val="24"/>
                <w:szCs w:val="24"/>
                <w:u w:val="single"/>
                <w:lang w:bidi="ar"/>
              </w:rPr>
              <w:t>凯瑞汽车、重型汽车集团、双专汽车、迅捷安特种车、</w:t>
            </w:r>
            <w:r>
              <w:rPr>
                <w:rFonts w:eastAsia="方正仿宋_GBK"/>
                <w:bCs/>
                <w:kern w:val="0"/>
                <w:sz w:val="24"/>
                <w:szCs w:val="24"/>
                <w:lang w:bidi="ar"/>
              </w:rPr>
              <w:t>金龙汽车、徐工集团、宇通客车、重庆金冠、大运汽车、江淮集团、华晨汽车等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72" w:type="dxa"/>
            <w:tcMar>
              <w:top w:w="10" w:type="dxa"/>
              <w:left w:w="10" w:type="dxa"/>
              <w:right w:w="10" w:type="dxa"/>
            </w:tcMar>
            <w:vAlign w:val="center"/>
          </w:tcPr>
          <w:p>
            <w:pPr>
              <w:widowControl/>
              <w:jc w:val="center"/>
              <w:textAlignment w:val="center"/>
              <w:rPr>
                <w:rFonts w:eastAsia="方正仿宋_GBK"/>
                <w:bCs/>
                <w:kern w:val="0"/>
                <w:sz w:val="24"/>
                <w:szCs w:val="24"/>
                <w:lang w:bidi="ar"/>
              </w:rPr>
            </w:pPr>
            <w:r>
              <w:rPr>
                <w:rFonts w:eastAsia="方正仿宋_GBK"/>
                <w:bCs/>
                <w:sz w:val="24"/>
                <w:szCs w:val="24"/>
              </w:rPr>
              <w:t>汽车零部件</w:t>
            </w:r>
          </w:p>
        </w:tc>
        <w:tc>
          <w:tcPr>
            <w:tcW w:w="3635" w:type="dxa"/>
            <w:tcMar>
              <w:top w:w="10" w:type="dxa"/>
              <w:left w:w="10" w:type="dxa"/>
              <w:right w:w="10" w:type="dxa"/>
            </w:tcMar>
            <w:vAlign w:val="center"/>
          </w:tcPr>
          <w:p>
            <w:pPr>
              <w:widowControl/>
              <w:textAlignment w:val="center"/>
              <w:rPr>
                <w:rFonts w:eastAsia="方正仿宋_GBK"/>
                <w:bCs/>
                <w:sz w:val="24"/>
                <w:szCs w:val="24"/>
              </w:rPr>
            </w:pPr>
            <w:r>
              <w:rPr>
                <w:rFonts w:eastAsia="方正仿宋_GBK"/>
                <w:bCs/>
                <w:sz w:val="24"/>
                <w:szCs w:val="24"/>
              </w:rPr>
              <w:t>高技术含量、高附加值关键零部件，如各种光电类传感器、电控系统、电液系统、变量液压泵、电磁控制阀、液压控制阀、各类液压元件、变量马达、静液传动系统等以及汽车内饰、特种纤维等。</w:t>
            </w:r>
          </w:p>
        </w:tc>
        <w:tc>
          <w:tcPr>
            <w:tcW w:w="4365" w:type="dxa"/>
            <w:vAlign w:val="center"/>
          </w:tcPr>
          <w:p>
            <w:pPr>
              <w:widowControl/>
              <w:textAlignment w:val="center"/>
              <w:rPr>
                <w:rFonts w:eastAsia="方正仿宋_GBK"/>
                <w:bCs/>
                <w:kern w:val="0"/>
                <w:sz w:val="24"/>
                <w:szCs w:val="24"/>
                <w:u w:val="single"/>
                <w:lang w:bidi="ar"/>
              </w:rPr>
            </w:pPr>
            <w:r>
              <w:rPr>
                <w:rFonts w:eastAsia="方正仿宋_GBK"/>
                <w:bCs/>
                <w:kern w:val="0"/>
                <w:sz w:val="24"/>
                <w:szCs w:val="24"/>
                <w:u w:val="single"/>
                <w:lang w:bidi="ar"/>
              </w:rPr>
              <w:t>上汽依维柯、康桥工业、双马汽车、红工汽车、亚华汽车、双钱集团、贝卡尔特、双专汽车、</w:t>
            </w:r>
            <w:r>
              <w:rPr>
                <w:rFonts w:eastAsia="方正仿宋_GBK"/>
                <w:bCs/>
                <w:kern w:val="0"/>
                <w:sz w:val="24"/>
                <w:szCs w:val="24"/>
                <w:lang w:bidi="ar"/>
              </w:rPr>
              <w:t>华域汽车、宁波华翔、万里扬、福达股份、威孚高科、长安安全装备、北斗星通、宁波拓普集团、德赛西威等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72" w:type="dxa"/>
            <w:vMerge w:val="restart"/>
            <w:tcMar>
              <w:top w:w="10" w:type="dxa"/>
              <w:left w:w="10" w:type="dxa"/>
              <w:right w:w="10" w:type="dxa"/>
            </w:tcMar>
            <w:vAlign w:val="center"/>
          </w:tcPr>
          <w:p>
            <w:pPr>
              <w:widowControl/>
              <w:jc w:val="center"/>
              <w:textAlignment w:val="center"/>
              <w:rPr>
                <w:rFonts w:eastAsia="方正仿宋_GBK"/>
                <w:bCs/>
                <w:sz w:val="24"/>
                <w:szCs w:val="24"/>
              </w:rPr>
            </w:pPr>
            <w:r>
              <w:rPr>
                <w:rFonts w:eastAsia="方正仿宋_GBK"/>
                <w:bCs/>
                <w:kern w:val="0"/>
                <w:sz w:val="24"/>
                <w:szCs w:val="24"/>
                <w:lang w:bidi="ar"/>
              </w:rPr>
              <w:t>新能源汽车</w:t>
            </w:r>
          </w:p>
        </w:tc>
        <w:tc>
          <w:tcPr>
            <w:tcW w:w="3635" w:type="dxa"/>
            <w:tcMar>
              <w:top w:w="10" w:type="dxa"/>
              <w:left w:w="10" w:type="dxa"/>
              <w:right w:w="10"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纯电动汽车：电芯、电机、电控、BMS、电空调、电转向、电制动等</w:t>
            </w:r>
          </w:p>
        </w:tc>
        <w:tc>
          <w:tcPr>
            <w:tcW w:w="4365" w:type="dxa"/>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宁德时代、北汽蓝谷、比亚迪、蔚来汽车等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72" w:type="dxa"/>
            <w:vMerge w:val="continue"/>
            <w:tcMar>
              <w:top w:w="10" w:type="dxa"/>
              <w:left w:w="10" w:type="dxa"/>
              <w:right w:w="10" w:type="dxa"/>
            </w:tcMar>
            <w:vAlign w:val="center"/>
          </w:tcPr>
          <w:p>
            <w:pPr>
              <w:widowControl/>
              <w:jc w:val="center"/>
              <w:textAlignment w:val="center"/>
              <w:rPr>
                <w:rFonts w:eastAsia="方正仿宋_GBK"/>
                <w:bCs/>
                <w:kern w:val="0"/>
                <w:sz w:val="24"/>
                <w:szCs w:val="24"/>
                <w:lang w:bidi="ar"/>
              </w:rPr>
            </w:pPr>
          </w:p>
        </w:tc>
        <w:tc>
          <w:tcPr>
            <w:tcW w:w="3635" w:type="dxa"/>
            <w:tcMar>
              <w:top w:w="10" w:type="dxa"/>
              <w:left w:w="10" w:type="dxa"/>
              <w:right w:w="10"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燃料电池汽车：发动机、电堆组件、辅助系统、氢系统等</w:t>
            </w:r>
          </w:p>
        </w:tc>
        <w:tc>
          <w:tcPr>
            <w:tcW w:w="4365" w:type="dxa"/>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上海申龙、北汽福田、东风汽车、中通客车、宇通汽车、南京金龙等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72" w:type="dxa"/>
            <w:vMerge w:val="continue"/>
            <w:tcMar>
              <w:top w:w="10" w:type="dxa"/>
              <w:left w:w="10" w:type="dxa"/>
              <w:right w:w="10" w:type="dxa"/>
            </w:tcMar>
            <w:vAlign w:val="center"/>
          </w:tcPr>
          <w:p>
            <w:pPr>
              <w:widowControl/>
              <w:jc w:val="center"/>
              <w:textAlignment w:val="center"/>
              <w:rPr>
                <w:rFonts w:eastAsia="方正仿宋_GBK"/>
                <w:bCs/>
                <w:kern w:val="0"/>
                <w:sz w:val="24"/>
                <w:szCs w:val="24"/>
                <w:lang w:bidi="ar"/>
              </w:rPr>
            </w:pPr>
          </w:p>
        </w:tc>
        <w:tc>
          <w:tcPr>
            <w:tcW w:w="3635" w:type="dxa"/>
            <w:tcMar>
              <w:top w:w="10" w:type="dxa"/>
              <w:left w:w="10" w:type="dxa"/>
              <w:right w:w="10"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充电桩</w:t>
            </w:r>
          </w:p>
        </w:tc>
        <w:tc>
          <w:tcPr>
            <w:tcW w:w="4365" w:type="dxa"/>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特锐德、普天新能源、上汽安悦、比亚迪等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72" w:type="dxa"/>
            <w:tcMar>
              <w:top w:w="10" w:type="dxa"/>
              <w:left w:w="10" w:type="dxa"/>
              <w:right w:w="10" w:type="dxa"/>
            </w:tcMar>
            <w:vAlign w:val="center"/>
          </w:tcPr>
          <w:p>
            <w:pPr>
              <w:widowControl/>
              <w:jc w:val="center"/>
              <w:textAlignment w:val="center"/>
              <w:rPr>
                <w:rFonts w:eastAsia="方正仿宋_GBK"/>
                <w:bCs/>
                <w:sz w:val="24"/>
                <w:szCs w:val="24"/>
              </w:rPr>
            </w:pPr>
            <w:r>
              <w:rPr>
                <w:rFonts w:eastAsia="方正仿宋_GBK"/>
                <w:bCs/>
                <w:kern w:val="0"/>
                <w:sz w:val="24"/>
                <w:szCs w:val="24"/>
                <w:lang w:bidi="ar"/>
              </w:rPr>
              <w:t>智能网联汽车</w:t>
            </w:r>
          </w:p>
        </w:tc>
        <w:tc>
          <w:tcPr>
            <w:tcW w:w="3635" w:type="dxa"/>
            <w:tcMar>
              <w:top w:w="10" w:type="dxa"/>
              <w:left w:w="10" w:type="dxa"/>
              <w:right w:w="10" w:type="dxa"/>
            </w:tcMar>
            <w:vAlign w:val="center"/>
          </w:tcPr>
          <w:p>
            <w:pPr>
              <w:widowControl/>
              <w:textAlignment w:val="center"/>
              <w:rPr>
                <w:rFonts w:eastAsia="方正仿宋_GBK"/>
                <w:bCs/>
                <w:sz w:val="24"/>
                <w:szCs w:val="24"/>
              </w:rPr>
            </w:pPr>
            <w:r>
              <w:rPr>
                <w:rFonts w:eastAsia="方正仿宋_GBK"/>
                <w:bCs/>
                <w:kern w:val="0"/>
                <w:sz w:val="24"/>
                <w:szCs w:val="24"/>
                <w:lang w:bidi="ar"/>
              </w:rPr>
              <w:t>电子架构、人机交互系统、车载操作系统、车端联网、路测联网等</w:t>
            </w:r>
          </w:p>
        </w:tc>
        <w:tc>
          <w:tcPr>
            <w:tcW w:w="4365" w:type="dxa"/>
            <w:vAlign w:val="center"/>
          </w:tcPr>
          <w:p>
            <w:pPr>
              <w:widowControl/>
              <w:textAlignment w:val="center"/>
              <w:rPr>
                <w:rFonts w:eastAsia="方正仿宋_GBK"/>
                <w:bCs/>
                <w:kern w:val="0"/>
                <w:sz w:val="24"/>
                <w:szCs w:val="24"/>
                <w:u w:val="single"/>
                <w:lang w:bidi="ar"/>
              </w:rPr>
            </w:pPr>
            <w:r>
              <w:rPr>
                <w:rFonts w:eastAsia="方正仿宋_GBK"/>
                <w:bCs/>
                <w:kern w:val="0"/>
                <w:sz w:val="24"/>
                <w:szCs w:val="24"/>
                <w:u w:val="single"/>
                <w:lang w:bidi="ar"/>
              </w:rPr>
              <w:t>中汽院（重庆）汽车检测、</w:t>
            </w:r>
            <w:r>
              <w:rPr>
                <w:rFonts w:eastAsia="方正仿宋_GBK"/>
                <w:bCs/>
                <w:kern w:val="0"/>
                <w:sz w:val="24"/>
                <w:szCs w:val="24"/>
                <w:lang w:bidi="ar"/>
              </w:rPr>
              <w:t>拓普集团、吉大正元、矿石科技、科大讯飞、德赛西威、深圳顺络等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72" w:type="dxa"/>
            <w:vMerge w:val="restart"/>
            <w:tcMar>
              <w:top w:w="10" w:type="dxa"/>
              <w:left w:w="10" w:type="dxa"/>
              <w:right w:w="10" w:type="dxa"/>
            </w:tcMar>
            <w:vAlign w:val="center"/>
          </w:tcPr>
          <w:p>
            <w:pPr>
              <w:widowControl/>
              <w:jc w:val="center"/>
              <w:textAlignment w:val="center"/>
              <w:rPr>
                <w:rFonts w:eastAsia="方正仿宋_GBK"/>
                <w:bCs/>
                <w:kern w:val="0"/>
                <w:sz w:val="24"/>
                <w:szCs w:val="24"/>
                <w:lang w:bidi="ar"/>
              </w:rPr>
            </w:pPr>
            <w:r>
              <w:rPr>
                <w:rFonts w:eastAsia="方正仿宋_GBK"/>
                <w:bCs/>
                <w:kern w:val="0"/>
                <w:sz w:val="24"/>
                <w:szCs w:val="24"/>
                <w:lang w:bidi="ar"/>
              </w:rPr>
              <w:t>摩托车</w:t>
            </w:r>
          </w:p>
        </w:tc>
        <w:tc>
          <w:tcPr>
            <w:tcW w:w="3635" w:type="dxa"/>
            <w:tcMar>
              <w:top w:w="10" w:type="dxa"/>
              <w:left w:w="10" w:type="dxa"/>
              <w:right w:w="10"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燃油摩托车、电动摩托车整车</w:t>
            </w:r>
          </w:p>
        </w:tc>
        <w:tc>
          <w:tcPr>
            <w:tcW w:w="4365" w:type="dxa"/>
            <w:vAlign w:val="center"/>
          </w:tcPr>
          <w:p>
            <w:pPr>
              <w:widowControl/>
              <w:textAlignment w:val="center"/>
              <w:rPr>
                <w:rFonts w:eastAsia="方正仿宋_GBK"/>
                <w:bCs/>
                <w:kern w:val="0"/>
                <w:sz w:val="24"/>
                <w:szCs w:val="24"/>
                <w:lang w:bidi="ar"/>
              </w:rPr>
            </w:pPr>
            <w:r>
              <w:rPr>
                <w:rFonts w:eastAsia="方正仿宋_GBK"/>
                <w:bCs/>
                <w:kern w:val="0"/>
                <w:sz w:val="24"/>
                <w:szCs w:val="24"/>
                <w:u w:val="single"/>
                <w:lang w:bidi="ar"/>
              </w:rPr>
              <w:t>嘉新、隆轩、欧鹏、荣爵、利爵、</w:t>
            </w:r>
            <w:r>
              <w:rPr>
                <w:rFonts w:eastAsia="方正仿宋_GBK"/>
                <w:bCs/>
                <w:kern w:val="0"/>
                <w:sz w:val="24"/>
                <w:szCs w:val="24"/>
                <w:lang w:bidi="ar"/>
              </w:rPr>
              <w:t>钱江摩托、正林、隆鑫集团、重庆宗申动；</w:t>
            </w:r>
            <w:r>
              <w:rPr>
                <w:rFonts w:eastAsia="方正仿宋_GBK"/>
                <w:bCs/>
                <w:kern w:val="0"/>
                <w:sz w:val="24"/>
                <w:szCs w:val="24"/>
                <w:u w:val="single"/>
                <w:lang w:bidi="ar"/>
              </w:rPr>
              <w:t>台铃集团、金箭科技集团、无锡赛鸽电动车、玉骑铃、</w:t>
            </w:r>
            <w:r>
              <w:rPr>
                <w:rFonts w:eastAsia="方正仿宋_GBK"/>
                <w:bCs/>
                <w:kern w:val="0"/>
                <w:sz w:val="24"/>
                <w:szCs w:val="24"/>
                <w:lang w:bidi="ar"/>
              </w:rPr>
              <w:t>雅迪、爱玛、新日、绿源、比德文等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72" w:type="dxa"/>
            <w:vMerge w:val="continue"/>
            <w:tcMar>
              <w:top w:w="10" w:type="dxa"/>
              <w:left w:w="10" w:type="dxa"/>
              <w:right w:w="10" w:type="dxa"/>
            </w:tcMar>
            <w:vAlign w:val="center"/>
          </w:tcPr>
          <w:p>
            <w:pPr>
              <w:widowControl/>
              <w:jc w:val="center"/>
              <w:textAlignment w:val="center"/>
              <w:rPr>
                <w:rFonts w:eastAsia="方正仿宋_GBK"/>
                <w:bCs/>
                <w:kern w:val="0"/>
                <w:sz w:val="24"/>
                <w:szCs w:val="24"/>
                <w:lang w:bidi="ar"/>
              </w:rPr>
            </w:pPr>
          </w:p>
        </w:tc>
        <w:tc>
          <w:tcPr>
            <w:tcW w:w="3635" w:type="dxa"/>
            <w:tcMar>
              <w:top w:w="10" w:type="dxa"/>
              <w:left w:w="10" w:type="dxa"/>
              <w:right w:w="10"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核心零部件：电器仪表、传动系统、控制器、动力总成、减震、行走系统、覆盖件、灯具等</w:t>
            </w:r>
          </w:p>
        </w:tc>
        <w:tc>
          <w:tcPr>
            <w:tcW w:w="4365" w:type="dxa"/>
            <w:vAlign w:val="center"/>
          </w:tcPr>
          <w:p>
            <w:pPr>
              <w:widowControl/>
              <w:textAlignment w:val="center"/>
              <w:rPr>
                <w:rFonts w:eastAsia="方正仿宋_GBK"/>
                <w:bCs/>
                <w:kern w:val="0"/>
                <w:sz w:val="24"/>
                <w:szCs w:val="24"/>
                <w:lang w:bidi="ar"/>
              </w:rPr>
            </w:pPr>
            <w:r>
              <w:rPr>
                <w:rFonts w:eastAsia="方正仿宋_GBK"/>
                <w:bCs/>
                <w:kern w:val="0"/>
                <w:sz w:val="24"/>
                <w:szCs w:val="24"/>
                <w:u w:val="single"/>
                <w:lang w:bidi="ar"/>
              </w:rPr>
              <w:t>利爵、永生压铸、金宇机电、华坤、豪健机车、</w:t>
            </w:r>
            <w:r>
              <w:rPr>
                <w:rFonts w:eastAsia="方正仿宋_GBK"/>
                <w:bCs/>
                <w:kern w:val="0"/>
                <w:sz w:val="24"/>
                <w:szCs w:val="24"/>
                <w:lang w:bidi="ar"/>
              </w:rPr>
              <w:t>旭派电池、星恒电源、远星轮胎日盈电子、天能电池、润峰电子、赛轮金宇集团、名震实业、奇力等</w:t>
            </w:r>
          </w:p>
        </w:tc>
      </w:tr>
      <w:bookmarkEnd w:id="33"/>
    </w:tbl>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3．智能产业集群</w:t>
      </w:r>
    </w:p>
    <w:p>
      <w:pPr>
        <w:spacing w:line="594" w:lineRule="exact"/>
        <w:ind w:firstLine="640" w:firstLineChars="200"/>
        <w:rPr>
          <w:rFonts w:eastAsia="方正仿宋_GBK"/>
          <w:bCs/>
          <w:sz w:val="32"/>
          <w:szCs w:val="32"/>
        </w:rPr>
      </w:pPr>
      <w:r>
        <w:rPr>
          <w:rFonts w:eastAsia="方正仿宋_GBK"/>
          <w:sz w:val="32"/>
          <w:szCs w:val="32"/>
        </w:rPr>
        <w:t>积极参与全市“智造重镇”“智慧名城”建设，创建智能制造产业研究院、检测检验中心，加快电梯、机器人、电子信息、智能终端等产品研发转化和示范应用，形成集研发、整机制造、检测、系统集成、核心零部件配套、人才培训和应用服务于一体的全产业链条，建成中国西部最大的电梯生产基地、全市重要的智能产业基地。到2025年，智能产业工业总产值达到360亿元，规上工业总产值达到300亿元。</w:t>
      </w:r>
    </w:p>
    <w:p>
      <w:pPr>
        <w:spacing w:line="594" w:lineRule="exact"/>
        <w:ind w:firstLine="643" w:firstLineChars="200"/>
        <w:rPr>
          <w:rFonts w:eastAsia="方正仿宋_GBK"/>
          <w:bCs/>
          <w:sz w:val="32"/>
          <w:szCs w:val="32"/>
        </w:rPr>
      </w:pPr>
      <w:r>
        <w:rPr>
          <w:rFonts w:eastAsia="方正仿宋_GBK"/>
          <w:b/>
          <w:bCs/>
          <w:sz w:val="32"/>
          <w:szCs w:val="32"/>
        </w:rPr>
        <w:t>电梯。</w:t>
      </w:r>
      <w:r>
        <w:rPr>
          <w:rFonts w:eastAsia="方正仿宋_GBK"/>
          <w:bCs/>
          <w:sz w:val="32"/>
          <w:szCs w:val="32"/>
        </w:rPr>
        <w:t>推进存量电梯龙头企业提质放量增效，支持施密特电梯、富士电梯等企业研制大容量、超高速、智能化的多种类电梯产品。进一步完善产业链条，依托华菱精工加速建设电梯产业配套产业园，着力引进品牌整梯以及曳引、电力拖动、电气控制、安全保护等关键零部件项目，建设西部最大的电梯生产基地。积极发展电梯后市场，鼓励企业积极打造B2C数字化平台，开展“产品+服务”转型，发展预测性维护、远程运维等后端维护工作。</w:t>
      </w:r>
    </w:p>
    <w:p>
      <w:pPr>
        <w:spacing w:line="600" w:lineRule="exact"/>
        <w:ind w:firstLine="643" w:firstLineChars="200"/>
        <w:rPr>
          <w:rFonts w:eastAsia="方正仿宋_GBK"/>
          <w:bCs/>
          <w:sz w:val="32"/>
          <w:szCs w:val="32"/>
        </w:rPr>
      </w:pPr>
      <w:r>
        <w:rPr>
          <w:rFonts w:eastAsia="方正仿宋_GBK"/>
          <w:b/>
          <w:sz w:val="32"/>
          <w:szCs w:val="32"/>
        </w:rPr>
        <w:t>智能制造装备。</w:t>
      </w:r>
      <w:r>
        <w:rPr>
          <w:rFonts w:eastAsia="方正仿宋_GBK"/>
          <w:bCs/>
          <w:sz w:val="32"/>
          <w:szCs w:val="32"/>
        </w:rPr>
        <w:t>发挥成渝轴线智能制造联盟作用，提升鸿升数控等本地企业生产能力，引进智能化机床、在线无损检测系统装备、可视化柔性装配装备、智能分拣机等研发生产企业。</w:t>
      </w:r>
      <w:r>
        <w:rPr>
          <w:rFonts w:eastAsia="方正仿宋_GBK"/>
          <w:sz w:val="32"/>
          <w:szCs w:val="32"/>
        </w:rPr>
        <w:t>重点突破智能传感、智能控制、信息处理等共性关键技术以及智能化微型化传感、智能测量仪表、工业控制系统、伺服电机及驱动器和减速器等关键部件核心技术，</w:t>
      </w:r>
      <w:r>
        <w:rPr>
          <w:rFonts w:eastAsia="方正仿宋_GBK"/>
          <w:bCs/>
          <w:sz w:val="32"/>
          <w:szCs w:val="32"/>
        </w:rPr>
        <w:t>推动智能装备产品拓展和品质提升。</w:t>
      </w:r>
      <w:r>
        <w:rPr>
          <w:rFonts w:eastAsia="方正仿宋_GBK"/>
          <w:sz w:val="32"/>
          <w:szCs w:val="32"/>
        </w:rPr>
        <w:t>推动智能制造成套设备产业化和示范应用，改造提升传统装备制造，提高精准、敏捷制造能力</w:t>
      </w:r>
      <w:r>
        <w:rPr>
          <w:rFonts w:eastAsia="方正仿宋_GBK"/>
          <w:bCs/>
          <w:sz w:val="32"/>
          <w:szCs w:val="32"/>
        </w:rPr>
        <w:t>。</w:t>
      </w:r>
    </w:p>
    <w:p>
      <w:pPr>
        <w:spacing w:line="594" w:lineRule="exact"/>
        <w:ind w:firstLine="643" w:firstLineChars="200"/>
        <w:rPr>
          <w:rFonts w:eastAsia="方正仿宋_GBK"/>
          <w:sz w:val="32"/>
          <w:szCs w:val="32"/>
        </w:rPr>
      </w:pPr>
      <w:r>
        <w:rPr>
          <w:rFonts w:eastAsia="方正仿宋_GBK"/>
          <w:b/>
          <w:bCs/>
          <w:sz w:val="32"/>
          <w:szCs w:val="32"/>
        </w:rPr>
        <w:t>集成电路。</w:t>
      </w:r>
      <w:r>
        <w:rPr>
          <w:rFonts w:eastAsia="方正仿宋_GBK"/>
          <w:sz w:val="32"/>
          <w:szCs w:val="32"/>
        </w:rPr>
        <w:t>推进集成电路产业园、经开区电子信息产业园等项目建设，促进现有企业产能释放。提升芯片设计能力，培育引进一批集成电路设计龙头企业及研发机构，丰富集成电路产品种类。聚焦集成电路制造环节，</w:t>
      </w:r>
      <w:r>
        <w:rPr>
          <w:rFonts w:eastAsia="方正仿宋_GBK"/>
          <w:bCs/>
          <w:sz w:val="32"/>
          <w:szCs w:val="32"/>
        </w:rPr>
        <w:t>加快培育一批晶圆、抛光材料、靶材等原材料生产企业，</w:t>
      </w:r>
      <w:r>
        <w:rPr>
          <w:rFonts w:eastAsia="方正仿宋_GBK"/>
          <w:sz w:val="32"/>
          <w:szCs w:val="32"/>
        </w:rPr>
        <w:t>推进达汉电子线路板、唯印电子电路组件研发生产基地等项目建设，探索与国内外集成电路龙头企业共建IDM模式为主的存储芯片生产线。发展先进封装测试工艺，依托聚力成外延片、中舜半导体、铭星等项目，加强与两江新区紫光储存芯片产业基地合作，承接封装测试项目</w:t>
      </w:r>
      <w:r>
        <w:rPr>
          <w:rFonts w:eastAsia="方正仿宋_GBK"/>
          <w:bCs/>
          <w:sz w:val="32"/>
          <w:szCs w:val="32"/>
        </w:rPr>
        <w:t>，</w:t>
      </w:r>
      <w:r>
        <w:rPr>
          <w:rFonts w:eastAsia="方正仿宋_GBK"/>
          <w:sz w:val="32"/>
          <w:szCs w:val="32"/>
        </w:rPr>
        <w:t>形成与设计、制造相匹配的封测能力，</w:t>
      </w:r>
      <w:r>
        <w:rPr>
          <w:rFonts w:eastAsia="方正仿宋_GBK"/>
          <w:bCs/>
          <w:sz w:val="32"/>
          <w:szCs w:val="32"/>
        </w:rPr>
        <w:t>构建完整的集成电路产业链条。</w:t>
      </w:r>
    </w:p>
    <w:p>
      <w:pPr>
        <w:spacing w:line="594" w:lineRule="exact"/>
        <w:ind w:firstLine="643" w:firstLineChars="200"/>
        <w:rPr>
          <w:rFonts w:eastAsia="方正仿宋_GBK"/>
          <w:bCs/>
          <w:sz w:val="32"/>
          <w:szCs w:val="32"/>
        </w:rPr>
      </w:pPr>
      <w:r>
        <w:rPr>
          <w:rFonts w:eastAsia="方正仿宋_GBK"/>
          <w:b/>
          <w:sz w:val="32"/>
          <w:szCs w:val="32"/>
        </w:rPr>
        <w:t>光电影像。</w:t>
      </w:r>
      <w:r>
        <w:rPr>
          <w:rFonts w:eastAsia="方正仿宋_GBK"/>
          <w:bCs/>
          <w:sz w:val="32"/>
          <w:szCs w:val="32"/>
        </w:rPr>
        <w:t>积极推进光电影像产业集聚发展，提质升级光电产业园，力争打造重庆市光电产业关键重点基础产业园。顺应柔性显示、超高清显示发展趋势，依托盛泰光电、佳禾光电等企业，加速布局超高清摄像头、3D摄像头、智能化摄像头等高端产品。瞄准光学电子技术及产业发展前沿，拓展产业链，积极吸引培育光学材料、光学元件、触控显示、玻璃盖板、摄像头模组、感应装置等零部件企业，提升滤光片、光学衍射元件、自动对焦执行器等部件本地供应能力，提升封装测试和三摄、四摄摄像头模组组装能力，推进新型摄像头模组向多功能一体化方向发展。</w:t>
      </w:r>
    </w:p>
    <w:p>
      <w:pPr>
        <w:spacing w:line="594" w:lineRule="exact"/>
        <w:ind w:firstLine="643" w:firstLineChars="200"/>
        <w:rPr>
          <w:rFonts w:eastAsia="方正仿宋_GBK"/>
          <w:bCs/>
          <w:sz w:val="32"/>
          <w:szCs w:val="32"/>
        </w:rPr>
      </w:pPr>
      <w:r>
        <w:rPr>
          <w:rFonts w:eastAsia="方正仿宋_GBK"/>
          <w:b/>
          <w:sz w:val="32"/>
          <w:szCs w:val="32"/>
        </w:rPr>
        <w:t>笔电配套。</w:t>
      </w:r>
      <w:r>
        <w:rPr>
          <w:rFonts w:eastAsia="方正仿宋_GBK"/>
          <w:bCs/>
          <w:sz w:val="32"/>
          <w:szCs w:val="32"/>
        </w:rPr>
        <w:t>依托巨腾、宇海等企业，开展计算机零部件配套、计算机外部辅助设备生产等项目的招商引资及技改扩建工作，引进整机以及结构件、主板元器件和充电器、耳机、数据线、机身机壳等配套企业，打造成渝中部重要的笔电外围设备制造基地。提升龙头企业壳料研发、模具研发水平，推动龙头企业打造笔记本电脑、平板电脑和其它智能终端机身机壳模具研发制造中心。</w:t>
      </w:r>
    </w:p>
    <w:p>
      <w:pPr>
        <w:spacing w:line="594" w:lineRule="exact"/>
        <w:ind w:firstLine="643" w:firstLineChars="200"/>
        <w:rPr>
          <w:rFonts w:eastAsia="方正仿宋_GBK"/>
          <w:bCs/>
          <w:sz w:val="32"/>
          <w:szCs w:val="32"/>
        </w:rPr>
      </w:pPr>
      <w:r>
        <w:rPr>
          <w:rFonts w:eastAsia="方正仿宋_GBK"/>
          <w:b/>
          <w:bCs/>
          <w:sz w:val="32"/>
          <w:szCs w:val="32"/>
        </w:rPr>
        <w:t>智能终端。</w:t>
      </w:r>
      <w:r>
        <w:rPr>
          <w:rFonts w:eastAsia="方正仿宋_GBK"/>
          <w:sz w:val="32"/>
          <w:szCs w:val="32"/>
        </w:rPr>
        <w:t>抢抓5G发展新机遇，</w:t>
      </w:r>
      <w:r>
        <w:rPr>
          <w:rFonts w:eastAsia="方正仿宋_GBK"/>
          <w:bCs/>
          <w:sz w:val="32"/>
          <w:szCs w:val="32"/>
        </w:rPr>
        <w:t>面向居民消费和行业应用对智能化、交互式电子终端产品需求，培育壮大立玻光电等企业，加大智能手机关键零部件及整机、智能电视、智能白色家电等项目引进力度，在5G技术产品、家用智能控制终端、VR/AR/MR眼镜及头盔等高附加值产品领域加快布局。</w:t>
      </w:r>
    </w:p>
    <w:p>
      <w:pPr>
        <w:spacing w:line="594" w:lineRule="exact"/>
        <w:ind w:firstLine="643" w:firstLineChars="200"/>
        <w:rPr>
          <w:rFonts w:eastAsia="方正仿宋_GBK"/>
          <w:bCs/>
          <w:sz w:val="32"/>
          <w:szCs w:val="32"/>
        </w:rPr>
      </w:pPr>
      <w:r>
        <w:rPr>
          <w:rFonts w:eastAsia="方正仿宋_GBK"/>
          <w:b/>
          <w:sz w:val="32"/>
          <w:szCs w:val="32"/>
        </w:rPr>
        <w:t>智能机器人。</w:t>
      </w:r>
      <w:r>
        <w:rPr>
          <w:rFonts w:eastAsia="方正仿宋_GBK"/>
          <w:bCs/>
          <w:sz w:val="32"/>
          <w:szCs w:val="32"/>
        </w:rPr>
        <w:t>依托高新区国家火炬工业机器人特色产业基地品牌优势，重点支持重科智能、北科研究院、罗博泰尔、向日葵、斯睿机器人、承锋智能等研究院和企业，同步推动工业机器人和服务机器人发展。聚焦智慧城市、智慧园区地下管网建设、高层消防需求，依托瀚德高科等企业，加速管网机器人、地下管道探伤机器人等产品开发，鼓励国飞无人机等企业面向救援救灾、能源安全和公共安全等领域拓展产品线，构建特种机器人企业群。着力围绕伺服驱动器、高性能控制器、集成一体化关节、灵巧手等关键零部件领域，聚焦机器人运动控制、精确参数辨识补偿、信息技术融合、影像定位与导航精度等技术，加大技术创新和产业化应用。</w:t>
      </w:r>
    </w:p>
    <w:p>
      <w:pPr>
        <w:pStyle w:val="7"/>
        <w:spacing w:after="120" w:afterLines="50" w:line="594" w:lineRule="exact"/>
        <w:ind w:left="0"/>
        <w:jc w:val="center"/>
        <w:rPr>
          <w:rFonts w:eastAsia="方正仿宋_GBK"/>
          <w:b/>
          <w:bCs/>
          <w:sz w:val="28"/>
          <w:szCs w:val="28"/>
        </w:rPr>
      </w:pPr>
      <w:r>
        <w:rPr>
          <w:rFonts w:eastAsia="方正仿宋_GBK"/>
          <w:b/>
          <w:bCs/>
          <w:sz w:val="28"/>
          <w:szCs w:val="28"/>
        </w:rPr>
        <w:t>专栏3  智能产业发展方向、重点产品及企业</w:t>
      </w:r>
    </w:p>
    <w:tbl>
      <w:tblPr>
        <w:tblStyle w:val="9"/>
        <w:tblW w:w="90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7"/>
        <w:gridCol w:w="3517"/>
        <w:gridCol w:w="4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5" w:hRule="atLeast"/>
          <w:tblHeader/>
          <w:jc w:val="center"/>
        </w:trPr>
        <w:tc>
          <w:tcPr>
            <w:tcW w:w="1147" w:type="dxa"/>
            <w:tcMar>
              <w:top w:w="15" w:type="dxa"/>
              <w:left w:w="15" w:type="dxa"/>
              <w:right w:w="15" w:type="dxa"/>
            </w:tcMar>
            <w:vAlign w:val="center"/>
          </w:tcPr>
          <w:p>
            <w:pPr>
              <w:widowControl/>
              <w:jc w:val="center"/>
              <w:textAlignment w:val="center"/>
              <w:rPr>
                <w:rFonts w:eastAsia="方正仿宋_GBK"/>
                <w:b/>
                <w:sz w:val="24"/>
                <w:szCs w:val="24"/>
              </w:rPr>
            </w:pPr>
            <w:r>
              <w:rPr>
                <w:rFonts w:eastAsia="方正仿宋_GBK"/>
                <w:b/>
                <w:kern w:val="0"/>
                <w:sz w:val="24"/>
                <w:szCs w:val="24"/>
                <w:lang w:bidi="ar"/>
              </w:rPr>
              <w:t>类别</w:t>
            </w:r>
          </w:p>
        </w:tc>
        <w:tc>
          <w:tcPr>
            <w:tcW w:w="3517" w:type="dxa"/>
            <w:tcMar>
              <w:top w:w="15" w:type="dxa"/>
              <w:left w:w="15" w:type="dxa"/>
              <w:right w:w="15" w:type="dxa"/>
            </w:tcMar>
            <w:vAlign w:val="center"/>
          </w:tcPr>
          <w:p>
            <w:pPr>
              <w:widowControl/>
              <w:jc w:val="center"/>
              <w:textAlignment w:val="center"/>
              <w:rPr>
                <w:rFonts w:eastAsia="方正仿宋_GBK"/>
                <w:b/>
                <w:sz w:val="24"/>
                <w:szCs w:val="24"/>
              </w:rPr>
            </w:pPr>
            <w:r>
              <w:rPr>
                <w:rFonts w:eastAsia="方正仿宋_GBK"/>
                <w:b/>
                <w:kern w:val="0"/>
                <w:sz w:val="24"/>
                <w:szCs w:val="24"/>
                <w:lang w:bidi="ar"/>
              </w:rPr>
              <w:t>发展方向及重点产品</w:t>
            </w:r>
          </w:p>
        </w:tc>
        <w:tc>
          <w:tcPr>
            <w:tcW w:w="4421" w:type="dxa"/>
            <w:vAlign w:val="center"/>
          </w:tcPr>
          <w:p>
            <w:pPr>
              <w:widowControl/>
              <w:jc w:val="center"/>
              <w:textAlignment w:val="center"/>
              <w:rPr>
                <w:rFonts w:eastAsia="方正仿宋_GBK"/>
                <w:b/>
                <w:kern w:val="0"/>
                <w:sz w:val="24"/>
                <w:szCs w:val="24"/>
                <w:lang w:bidi="ar"/>
              </w:rPr>
            </w:pPr>
            <w:r>
              <w:rPr>
                <w:rFonts w:eastAsia="方正仿宋_GBK"/>
                <w:b/>
                <w:kern w:val="0"/>
                <w:sz w:val="24"/>
                <w:szCs w:val="24"/>
                <w:lang w:bidi="ar"/>
              </w:rPr>
              <w:t>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restart"/>
            <w:tcMar>
              <w:top w:w="15" w:type="dxa"/>
              <w:left w:w="15" w:type="dxa"/>
              <w:right w:w="15" w:type="dxa"/>
            </w:tcMar>
            <w:vAlign w:val="center"/>
          </w:tcPr>
          <w:p>
            <w:pPr>
              <w:widowControl/>
              <w:jc w:val="center"/>
              <w:textAlignment w:val="center"/>
              <w:rPr>
                <w:rFonts w:eastAsia="方正仿宋_GBK"/>
                <w:sz w:val="24"/>
                <w:szCs w:val="24"/>
              </w:rPr>
            </w:pPr>
            <w:r>
              <w:rPr>
                <w:rFonts w:eastAsia="方正仿宋_GBK"/>
                <w:b/>
                <w:bCs/>
                <w:kern w:val="0"/>
                <w:sz w:val="24"/>
                <w:szCs w:val="24"/>
                <w:lang w:bidi="ar"/>
              </w:rPr>
              <w:t>电梯</w:t>
            </w:r>
          </w:p>
        </w:tc>
        <w:tc>
          <w:tcPr>
            <w:tcW w:w="3517"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电梯整机</w:t>
            </w:r>
          </w:p>
        </w:tc>
        <w:tc>
          <w:tcPr>
            <w:tcW w:w="4421" w:type="dxa"/>
            <w:vAlign w:val="center"/>
          </w:tcPr>
          <w:p>
            <w:pPr>
              <w:widowControl/>
              <w:textAlignment w:val="center"/>
              <w:rPr>
                <w:rFonts w:eastAsia="方正仿宋_GBK"/>
                <w:bCs/>
                <w:kern w:val="0"/>
                <w:sz w:val="24"/>
                <w:szCs w:val="24"/>
                <w:lang w:bidi="ar"/>
              </w:rPr>
            </w:pPr>
            <w:r>
              <w:rPr>
                <w:rFonts w:eastAsia="方正仿宋_GBK"/>
                <w:bCs/>
                <w:kern w:val="0"/>
                <w:sz w:val="24"/>
                <w:szCs w:val="24"/>
                <w:u w:val="single"/>
                <w:lang w:bidi="ar"/>
              </w:rPr>
              <w:t>施密特电梯、富士电梯、华森天澳、快科、上海机电、华菱精工、</w:t>
            </w:r>
            <w:r>
              <w:rPr>
                <w:rFonts w:eastAsia="方正仿宋_GBK"/>
                <w:bCs/>
                <w:kern w:val="0"/>
                <w:sz w:val="24"/>
                <w:szCs w:val="24"/>
                <w:lang w:bidi="ar"/>
              </w:rPr>
              <w:t>浙江巨人集团、康力电梯、上海三菱电梯、日立（中国）等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continue"/>
            <w:tcMar>
              <w:top w:w="15" w:type="dxa"/>
              <w:left w:w="15" w:type="dxa"/>
              <w:right w:w="15" w:type="dxa"/>
            </w:tcMar>
            <w:vAlign w:val="center"/>
          </w:tcPr>
          <w:p>
            <w:pPr>
              <w:widowControl/>
              <w:jc w:val="center"/>
              <w:textAlignment w:val="center"/>
              <w:rPr>
                <w:rFonts w:eastAsia="方正仿宋_GBK"/>
                <w:b/>
                <w:bCs/>
                <w:kern w:val="0"/>
                <w:sz w:val="24"/>
                <w:szCs w:val="24"/>
                <w:lang w:bidi="ar"/>
              </w:rPr>
            </w:pPr>
          </w:p>
        </w:tc>
        <w:tc>
          <w:tcPr>
            <w:tcW w:w="3517"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曳引系统：曳引机、曳引钢丝绳、导向轮、反绳轮等</w:t>
            </w:r>
          </w:p>
        </w:tc>
        <w:tc>
          <w:tcPr>
            <w:tcW w:w="4421" w:type="dxa"/>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蒙特纳利、</w:t>
            </w:r>
            <w:r>
              <w:rPr>
                <w:rFonts w:eastAsia="方正仿宋_GBK"/>
                <w:bCs/>
                <w:kern w:val="0"/>
                <w:sz w:val="24"/>
                <w:szCs w:val="24"/>
                <w:u w:val="single"/>
                <w:lang w:bidi="ar"/>
              </w:rPr>
              <w:t>通润驱动</w:t>
            </w:r>
            <w:r>
              <w:rPr>
                <w:rFonts w:eastAsia="方正仿宋_GBK"/>
                <w:bCs/>
                <w:kern w:val="0"/>
                <w:sz w:val="24"/>
                <w:szCs w:val="24"/>
                <w:lang w:bidi="ar"/>
              </w:rPr>
              <w:t>、蓝光驱动、奥的斯曳引机等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continue"/>
            <w:tcMar>
              <w:top w:w="15" w:type="dxa"/>
              <w:left w:w="15" w:type="dxa"/>
              <w:right w:w="15" w:type="dxa"/>
            </w:tcMar>
            <w:vAlign w:val="center"/>
          </w:tcPr>
          <w:p>
            <w:pPr>
              <w:widowControl/>
              <w:jc w:val="center"/>
              <w:textAlignment w:val="center"/>
              <w:rPr>
                <w:rFonts w:eastAsia="方正仿宋_GBK"/>
                <w:b/>
                <w:bCs/>
                <w:kern w:val="0"/>
                <w:sz w:val="24"/>
                <w:szCs w:val="24"/>
                <w:lang w:bidi="ar"/>
              </w:rPr>
            </w:pPr>
          </w:p>
        </w:tc>
        <w:tc>
          <w:tcPr>
            <w:tcW w:w="3517"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导向系统：导轨、导靴、导轨架等</w:t>
            </w:r>
          </w:p>
        </w:tc>
        <w:tc>
          <w:tcPr>
            <w:tcW w:w="4421" w:type="dxa"/>
            <w:vAlign w:val="center"/>
          </w:tcPr>
          <w:p>
            <w:pPr>
              <w:widowControl/>
              <w:textAlignment w:val="center"/>
              <w:rPr>
                <w:rFonts w:eastAsia="方正仿宋_GBK"/>
                <w:bCs/>
                <w:kern w:val="0"/>
                <w:sz w:val="24"/>
                <w:szCs w:val="24"/>
                <w:u w:val="single"/>
                <w:lang w:bidi="ar"/>
              </w:rPr>
            </w:pPr>
            <w:r>
              <w:rPr>
                <w:rFonts w:eastAsia="方正仿宋_GBK"/>
                <w:bCs/>
                <w:kern w:val="0"/>
                <w:sz w:val="24"/>
                <w:szCs w:val="24"/>
                <w:u w:val="single"/>
                <w:lang w:bidi="ar"/>
              </w:rPr>
              <w:t>施密特电梯、富士电梯、华森天澳、快科、</w:t>
            </w:r>
            <w:r>
              <w:rPr>
                <w:rFonts w:eastAsia="方正仿宋_GBK"/>
                <w:bCs/>
                <w:kern w:val="0"/>
                <w:sz w:val="24"/>
                <w:szCs w:val="24"/>
                <w:lang w:bidi="ar"/>
              </w:rPr>
              <w:t>同力日升等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continue"/>
            <w:tcMar>
              <w:top w:w="15" w:type="dxa"/>
              <w:left w:w="15" w:type="dxa"/>
              <w:right w:w="15" w:type="dxa"/>
            </w:tcMar>
            <w:vAlign w:val="center"/>
          </w:tcPr>
          <w:p>
            <w:pPr>
              <w:widowControl/>
              <w:jc w:val="center"/>
              <w:textAlignment w:val="center"/>
              <w:rPr>
                <w:rFonts w:eastAsia="方正仿宋_GBK"/>
                <w:b/>
                <w:bCs/>
                <w:kern w:val="0"/>
                <w:sz w:val="24"/>
                <w:szCs w:val="24"/>
                <w:lang w:bidi="ar"/>
              </w:rPr>
            </w:pPr>
          </w:p>
        </w:tc>
        <w:tc>
          <w:tcPr>
            <w:tcW w:w="3517"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门系统：轿厢门、层门、开门、连动机构等</w:t>
            </w:r>
          </w:p>
        </w:tc>
        <w:tc>
          <w:tcPr>
            <w:tcW w:w="4421" w:type="dxa"/>
            <w:vAlign w:val="center"/>
          </w:tcPr>
          <w:p>
            <w:pPr>
              <w:widowControl/>
              <w:textAlignment w:val="center"/>
              <w:rPr>
                <w:rFonts w:eastAsia="方正仿宋_GBK"/>
                <w:bCs/>
                <w:kern w:val="0"/>
                <w:sz w:val="24"/>
                <w:szCs w:val="24"/>
                <w:lang w:bidi="ar"/>
              </w:rPr>
            </w:pPr>
            <w:r>
              <w:rPr>
                <w:rFonts w:eastAsia="方正仿宋_GBK"/>
                <w:bCs/>
                <w:kern w:val="0"/>
                <w:sz w:val="24"/>
                <w:szCs w:val="24"/>
                <w:u w:val="single"/>
                <w:lang w:bidi="ar"/>
              </w:rPr>
              <w:t>施密特电梯、华森天澳、快科、科辉、</w:t>
            </w:r>
            <w:r>
              <w:rPr>
                <w:rFonts w:eastAsia="方正仿宋_GBK"/>
                <w:bCs/>
                <w:kern w:val="0"/>
                <w:sz w:val="24"/>
                <w:szCs w:val="24"/>
                <w:lang w:bidi="ar"/>
              </w:rPr>
              <w:t>科莱曼电梯、上海席尔诺、展鹏科技等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continue"/>
            <w:tcMar>
              <w:top w:w="15" w:type="dxa"/>
              <w:left w:w="15" w:type="dxa"/>
              <w:right w:w="15" w:type="dxa"/>
            </w:tcMar>
            <w:vAlign w:val="center"/>
          </w:tcPr>
          <w:p>
            <w:pPr>
              <w:widowControl/>
              <w:jc w:val="center"/>
              <w:textAlignment w:val="center"/>
              <w:rPr>
                <w:rFonts w:eastAsia="方正仿宋_GBK"/>
                <w:b/>
                <w:bCs/>
                <w:kern w:val="0"/>
                <w:sz w:val="24"/>
                <w:szCs w:val="24"/>
                <w:lang w:bidi="ar"/>
              </w:rPr>
            </w:pPr>
          </w:p>
        </w:tc>
        <w:tc>
          <w:tcPr>
            <w:tcW w:w="3517"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轿厢系统：轿厢架、轿厢体等</w:t>
            </w:r>
          </w:p>
        </w:tc>
        <w:tc>
          <w:tcPr>
            <w:tcW w:w="4421" w:type="dxa"/>
            <w:vAlign w:val="center"/>
          </w:tcPr>
          <w:p>
            <w:pPr>
              <w:widowControl/>
              <w:textAlignment w:val="center"/>
              <w:rPr>
                <w:rFonts w:eastAsia="方正仿宋_GBK"/>
                <w:bCs/>
                <w:kern w:val="0"/>
                <w:sz w:val="24"/>
                <w:szCs w:val="24"/>
                <w:lang w:bidi="ar"/>
              </w:rPr>
            </w:pPr>
            <w:r>
              <w:rPr>
                <w:rFonts w:eastAsia="方正仿宋_GBK"/>
                <w:bCs/>
                <w:kern w:val="0"/>
                <w:sz w:val="24"/>
                <w:szCs w:val="24"/>
                <w:u w:val="single"/>
                <w:lang w:bidi="ar"/>
              </w:rPr>
              <w:t>施密特电梯、富士电梯、华森天澳、快科、华菱精工、</w:t>
            </w:r>
            <w:r>
              <w:rPr>
                <w:rFonts w:eastAsia="方正仿宋_GBK"/>
                <w:bCs/>
                <w:kern w:val="0"/>
                <w:sz w:val="24"/>
                <w:szCs w:val="24"/>
                <w:lang w:bidi="ar"/>
              </w:rPr>
              <w:t>世嘉科技等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continue"/>
            <w:tcMar>
              <w:top w:w="15" w:type="dxa"/>
              <w:left w:w="15" w:type="dxa"/>
              <w:right w:w="15" w:type="dxa"/>
            </w:tcMar>
            <w:vAlign w:val="center"/>
          </w:tcPr>
          <w:p>
            <w:pPr>
              <w:widowControl/>
              <w:jc w:val="center"/>
              <w:textAlignment w:val="center"/>
              <w:rPr>
                <w:rFonts w:eastAsia="方正仿宋_GBK"/>
                <w:b/>
                <w:bCs/>
                <w:kern w:val="0"/>
                <w:sz w:val="24"/>
                <w:szCs w:val="24"/>
                <w:lang w:bidi="ar"/>
              </w:rPr>
            </w:pPr>
          </w:p>
        </w:tc>
        <w:tc>
          <w:tcPr>
            <w:tcW w:w="3517"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重量平衡系统：对重和重量补偿装置等</w:t>
            </w:r>
          </w:p>
        </w:tc>
        <w:tc>
          <w:tcPr>
            <w:tcW w:w="4421" w:type="dxa"/>
            <w:vAlign w:val="center"/>
          </w:tcPr>
          <w:p>
            <w:pPr>
              <w:widowControl/>
              <w:textAlignment w:val="center"/>
              <w:rPr>
                <w:rFonts w:eastAsia="方正仿宋_GBK"/>
                <w:bCs/>
                <w:kern w:val="0"/>
                <w:sz w:val="24"/>
                <w:szCs w:val="24"/>
                <w:u w:val="single"/>
                <w:lang w:bidi="ar"/>
              </w:rPr>
            </w:pPr>
            <w:r>
              <w:rPr>
                <w:rFonts w:eastAsia="方正仿宋_GBK"/>
                <w:bCs/>
                <w:kern w:val="0"/>
                <w:sz w:val="24"/>
                <w:szCs w:val="24"/>
                <w:u w:val="single"/>
                <w:lang w:bidi="ar"/>
              </w:rPr>
              <w:t>施密特电梯、富士电梯、快科、华菱精工等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continue"/>
            <w:tcMar>
              <w:top w:w="15" w:type="dxa"/>
              <w:left w:w="15" w:type="dxa"/>
              <w:right w:w="15" w:type="dxa"/>
            </w:tcMar>
            <w:vAlign w:val="center"/>
          </w:tcPr>
          <w:p>
            <w:pPr>
              <w:widowControl/>
              <w:jc w:val="center"/>
              <w:textAlignment w:val="center"/>
              <w:rPr>
                <w:rFonts w:eastAsia="方正仿宋_GBK"/>
                <w:b/>
                <w:bCs/>
                <w:kern w:val="0"/>
                <w:sz w:val="24"/>
                <w:szCs w:val="24"/>
                <w:lang w:bidi="ar"/>
              </w:rPr>
            </w:pPr>
          </w:p>
        </w:tc>
        <w:tc>
          <w:tcPr>
            <w:tcW w:w="3517"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电力拖动系统：拽引电机、供电系统、速度反馈装置、调速装置等</w:t>
            </w:r>
          </w:p>
        </w:tc>
        <w:tc>
          <w:tcPr>
            <w:tcW w:w="4421" w:type="dxa"/>
            <w:vAlign w:val="center"/>
          </w:tcPr>
          <w:p>
            <w:pPr>
              <w:widowControl/>
              <w:textAlignment w:val="center"/>
              <w:rPr>
                <w:rFonts w:eastAsia="方正仿宋_GBK"/>
                <w:bCs/>
                <w:kern w:val="0"/>
                <w:sz w:val="24"/>
                <w:szCs w:val="24"/>
                <w:lang w:bidi="ar"/>
              </w:rPr>
            </w:pPr>
            <w:r>
              <w:rPr>
                <w:rFonts w:eastAsia="方正仿宋_GBK"/>
                <w:bCs/>
                <w:kern w:val="0"/>
                <w:sz w:val="24"/>
                <w:szCs w:val="24"/>
                <w:u w:val="single"/>
                <w:lang w:bidi="ar"/>
              </w:rPr>
              <w:t>施密特电梯、富士电梯、华森天澳、快科、科辉、</w:t>
            </w:r>
            <w:r>
              <w:rPr>
                <w:rFonts w:eastAsia="方正仿宋_GBK"/>
                <w:bCs/>
                <w:kern w:val="0"/>
                <w:sz w:val="24"/>
                <w:szCs w:val="24"/>
                <w:lang w:bidi="ar"/>
              </w:rPr>
              <w:t>赛福天等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continue"/>
            <w:tcMar>
              <w:top w:w="15" w:type="dxa"/>
              <w:left w:w="15" w:type="dxa"/>
              <w:right w:w="15" w:type="dxa"/>
            </w:tcMar>
            <w:vAlign w:val="center"/>
          </w:tcPr>
          <w:p>
            <w:pPr>
              <w:widowControl/>
              <w:jc w:val="center"/>
              <w:textAlignment w:val="center"/>
              <w:rPr>
                <w:rFonts w:eastAsia="方正仿宋_GBK"/>
                <w:b/>
                <w:bCs/>
                <w:kern w:val="0"/>
                <w:sz w:val="24"/>
                <w:szCs w:val="24"/>
                <w:lang w:bidi="ar"/>
              </w:rPr>
            </w:pPr>
          </w:p>
        </w:tc>
        <w:tc>
          <w:tcPr>
            <w:tcW w:w="3517"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电力控制系统：控制装置、操纵装置、平层装置、位置显示装置等</w:t>
            </w:r>
          </w:p>
        </w:tc>
        <w:tc>
          <w:tcPr>
            <w:tcW w:w="4421" w:type="dxa"/>
            <w:vAlign w:val="center"/>
          </w:tcPr>
          <w:p>
            <w:pPr>
              <w:widowControl/>
              <w:textAlignment w:val="center"/>
              <w:rPr>
                <w:rFonts w:eastAsia="方正仿宋_GBK"/>
                <w:bCs/>
                <w:kern w:val="0"/>
                <w:sz w:val="24"/>
                <w:szCs w:val="24"/>
                <w:lang w:bidi="ar"/>
              </w:rPr>
            </w:pPr>
            <w:r>
              <w:rPr>
                <w:rFonts w:eastAsia="方正仿宋_GBK"/>
                <w:bCs/>
                <w:kern w:val="0"/>
                <w:sz w:val="24"/>
                <w:szCs w:val="24"/>
                <w:u w:val="single"/>
                <w:lang w:bidi="ar"/>
              </w:rPr>
              <w:t>施密特电梯、富士电梯、快科、</w:t>
            </w:r>
            <w:r>
              <w:rPr>
                <w:rFonts w:eastAsia="方正仿宋_GBK"/>
                <w:bCs/>
                <w:kern w:val="0"/>
                <w:sz w:val="24"/>
                <w:szCs w:val="24"/>
                <w:lang w:bidi="ar"/>
              </w:rPr>
              <w:t>安川等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continue"/>
            <w:tcMar>
              <w:top w:w="15" w:type="dxa"/>
              <w:left w:w="15" w:type="dxa"/>
              <w:right w:w="15" w:type="dxa"/>
            </w:tcMar>
            <w:vAlign w:val="center"/>
          </w:tcPr>
          <w:p>
            <w:pPr>
              <w:widowControl/>
              <w:jc w:val="center"/>
              <w:textAlignment w:val="center"/>
              <w:rPr>
                <w:rFonts w:eastAsia="方正仿宋_GBK"/>
                <w:b/>
                <w:bCs/>
                <w:kern w:val="0"/>
                <w:sz w:val="24"/>
                <w:szCs w:val="24"/>
                <w:lang w:bidi="ar"/>
              </w:rPr>
            </w:pPr>
          </w:p>
        </w:tc>
        <w:tc>
          <w:tcPr>
            <w:tcW w:w="3517"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安全保护系统：超速保护装置、缓冲器、安全防夹装置等</w:t>
            </w:r>
          </w:p>
        </w:tc>
        <w:tc>
          <w:tcPr>
            <w:tcW w:w="4421" w:type="dxa"/>
            <w:vAlign w:val="center"/>
          </w:tcPr>
          <w:p>
            <w:pPr>
              <w:widowControl/>
              <w:textAlignment w:val="center"/>
              <w:rPr>
                <w:rFonts w:eastAsia="方正仿宋_GBK"/>
                <w:bCs/>
                <w:kern w:val="0"/>
                <w:sz w:val="24"/>
                <w:szCs w:val="24"/>
                <w:lang w:bidi="ar"/>
              </w:rPr>
            </w:pPr>
            <w:r>
              <w:rPr>
                <w:rFonts w:eastAsia="方正仿宋_GBK"/>
                <w:bCs/>
                <w:kern w:val="0"/>
                <w:sz w:val="24"/>
                <w:szCs w:val="24"/>
                <w:u w:val="single"/>
                <w:lang w:bidi="ar"/>
              </w:rPr>
              <w:t>快科、</w:t>
            </w:r>
            <w:r>
              <w:rPr>
                <w:rFonts w:eastAsia="方正仿宋_GBK"/>
                <w:bCs/>
                <w:kern w:val="0"/>
                <w:sz w:val="24"/>
                <w:szCs w:val="24"/>
                <w:lang w:bidi="ar"/>
              </w:rPr>
              <w:t>天津市奥瑞克电梯有限公司、中德奥瑞克电梯有限公司、沪宁股份等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53" w:hRule="atLeast"/>
          <w:jc w:val="center"/>
        </w:trPr>
        <w:tc>
          <w:tcPr>
            <w:tcW w:w="1147" w:type="dxa"/>
            <w:tcMar>
              <w:top w:w="15" w:type="dxa"/>
              <w:left w:w="15" w:type="dxa"/>
              <w:right w:w="15" w:type="dxa"/>
            </w:tcMar>
            <w:vAlign w:val="center"/>
          </w:tcPr>
          <w:p>
            <w:pPr>
              <w:widowControl/>
              <w:jc w:val="center"/>
              <w:textAlignment w:val="center"/>
              <w:rPr>
                <w:rFonts w:eastAsia="方正仿宋_GBK"/>
                <w:b/>
                <w:bCs/>
                <w:kern w:val="0"/>
                <w:sz w:val="24"/>
                <w:szCs w:val="24"/>
                <w:lang w:bidi="ar"/>
              </w:rPr>
            </w:pPr>
            <w:r>
              <w:rPr>
                <w:rFonts w:eastAsia="方正仿宋_GBK"/>
                <w:b/>
                <w:bCs/>
                <w:kern w:val="0"/>
                <w:sz w:val="24"/>
                <w:szCs w:val="24"/>
                <w:lang w:bidi="ar"/>
              </w:rPr>
              <w:t>智能制造装备</w:t>
            </w:r>
          </w:p>
        </w:tc>
        <w:tc>
          <w:tcPr>
            <w:tcW w:w="3517" w:type="dxa"/>
            <w:tcMar>
              <w:top w:w="15" w:type="dxa"/>
              <w:left w:w="15" w:type="dxa"/>
              <w:right w:w="15" w:type="dxa"/>
            </w:tcMar>
            <w:vAlign w:val="center"/>
          </w:tcPr>
          <w:p>
            <w:pPr>
              <w:textAlignment w:val="center"/>
              <w:rPr>
                <w:rFonts w:eastAsia="方正仿宋_GBK"/>
                <w:bCs/>
                <w:kern w:val="0"/>
                <w:sz w:val="24"/>
                <w:szCs w:val="24"/>
                <w:lang w:bidi="ar"/>
              </w:rPr>
            </w:pPr>
            <w:r>
              <w:rPr>
                <w:rFonts w:eastAsia="方正仿宋_GBK"/>
                <w:bCs/>
                <w:kern w:val="0"/>
                <w:sz w:val="24"/>
                <w:szCs w:val="24"/>
                <w:lang w:bidi="ar"/>
              </w:rPr>
              <w:t>自动化机床、机器手、高精机床、智能激光设备、高精机床用控制系统等</w:t>
            </w:r>
          </w:p>
        </w:tc>
        <w:tc>
          <w:tcPr>
            <w:tcW w:w="4421" w:type="dxa"/>
            <w:vAlign w:val="center"/>
          </w:tcPr>
          <w:p>
            <w:pPr>
              <w:textAlignment w:val="center"/>
              <w:rPr>
                <w:rFonts w:eastAsia="方正仿宋_GBK"/>
                <w:bCs/>
                <w:kern w:val="0"/>
                <w:sz w:val="24"/>
                <w:szCs w:val="24"/>
                <w:u w:val="single"/>
                <w:lang w:bidi="ar"/>
              </w:rPr>
            </w:pPr>
            <w:r>
              <w:rPr>
                <w:rFonts w:eastAsia="方正仿宋_GBK"/>
                <w:bCs/>
                <w:kern w:val="0"/>
                <w:sz w:val="24"/>
                <w:szCs w:val="24"/>
                <w:u w:val="single"/>
                <w:lang w:bidi="ar"/>
              </w:rPr>
              <w:t>鸿升数控机床、希米自动化设备、踔越智能装备、顺通智能制造、</w:t>
            </w:r>
            <w:r>
              <w:rPr>
                <w:rFonts w:eastAsia="方正仿宋_GBK"/>
                <w:bCs/>
                <w:kern w:val="0"/>
                <w:sz w:val="24"/>
                <w:szCs w:val="24"/>
                <w:lang w:bidi="ar"/>
              </w:rPr>
              <w:t>山崎马扎克（中国）有限公司、德马吉森精机机床贸易有限公司、通快（中国）有限公司、上机数控等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restart"/>
            <w:tcMar>
              <w:top w:w="15" w:type="dxa"/>
              <w:left w:w="15" w:type="dxa"/>
              <w:right w:w="15" w:type="dxa"/>
            </w:tcMar>
            <w:vAlign w:val="center"/>
          </w:tcPr>
          <w:p>
            <w:pPr>
              <w:widowControl/>
              <w:jc w:val="center"/>
              <w:textAlignment w:val="center"/>
              <w:rPr>
                <w:rFonts w:eastAsia="方正仿宋_GBK"/>
                <w:b/>
                <w:bCs/>
                <w:kern w:val="0"/>
                <w:sz w:val="24"/>
                <w:szCs w:val="24"/>
                <w:lang w:bidi="ar"/>
              </w:rPr>
            </w:pPr>
            <w:r>
              <w:rPr>
                <w:rFonts w:eastAsia="方正仿宋_GBK"/>
                <w:b/>
                <w:bCs/>
                <w:kern w:val="0"/>
                <w:sz w:val="24"/>
                <w:szCs w:val="24"/>
                <w:lang w:bidi="ar"/>
              </w:rPr>
              <w:t>集成电路</w:t>
            </w:r>
          </w:p>
        </w:tc>
        <w:tc>
          <w:tcPr>
            <w:tcW w:w="3517"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IC设计</w:t>
            </w:r>
          </w:p>
        </w:tc>
        <w:tc>
          <w:tcPr>
            <w:tcW w:w="4421" w:type="dxa"/>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圣邦、兴森科技、兆易创新、东湖高新紫光展锐、超威等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continue"/>
            <w:tcMar>
              <w:top w:w="15" w:type="dxa"/>
              <w:left w:w="15" w:type="dxa"/>
              <w:right w:w="15" w:type="dxa"/>
            </w:tcMar>
            <w:vAlign w:val="center"/>
          </w:tcPr>
          <w:p>
            <w:pPr>
              <w:widowControl/>
              <w:jc w:val="center"/>
              <w:textAlignment w:val="center"/>
              <w:rPr>
                <w:rFonts w:eastAsia="方正仿宋_GBK"/>
                <w:b/>
                <w:bCs/>
                <w:kern w:val="0"/>
                <w:sz w:val="24"/>
                <w:szCs w:val="24"/>
                <w:lang w:bidi="ar"/>
              </w:rPr>
            </w:pPr>
          </w:p>
        </w:tc>
        <w:tc>
          <w:tcPr>
            <w:tcW w:w="3517"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IC制造</w:t>
            </w:r>
          </w:p>
        </w:tc>
        <w:tc>
          <w:tcPr>
            <w:tcW w:w="4421" w:type="dxa"/>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北京君正、芯源微、华微电子、万国半导体、华润微电子、中芯国际等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continue"/>
            <w:tcMar>
              <w:top w:w="15" w:type="dxa"/>
              <w:left w:w="15" w:type="dxa"/>
              <w:right w:w="15" w:type="dxa"/>
            </w:tcMar>
            <w:vAlign w:val="center"/>
          </w:tcPr>
          <w:p>
            <w:pPr>
              <w:widowControl/>
              <w:jc w:val="center"/>
              <w:textAlignment w:val="center"/>
              <w:rPr>
                <w:rFonts w:eastAsia="方正仿宋_GBK"/>
                <w:b/>
                <w:bCs/>
                <w:kern w:val="0"/>
                <w:sz w:val="24"/>
                <w:szCs w:val="24"/>
                <w:lang w:bidi="ar"/>
              </w:rPr>
            </w:pPr>
          </w:p>
        </w:tc>
        <w:tc>
          <w:tcPr>
            <w:tcW w:w="3517"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IC封测</w:t>
            </w:r>
          </w:p>
        </w:tc>
        <w:tc>
          <w:tcPr>
            <w:tcW w:w="4421" w:type="dxa"/>
            <w:vAlign w:val="center"/>
          </w:tcPr>
          <w:p>
            <w:pPr>
              <w:widowControl/>
              <w:textAlignment w:val="center"/>
              <w:rPr>
                <w:rFonts w:eastAsia="方正仿宋_GBK"/>
                <w:bCs/>
                <w:kern w:val="0"/>
                <w:sz w:val="24"/>
                <w:szCs w:val="24"/>
                <w:lang w:bidi="ar"/>
              </w:rPr>
            </w:pPr>
            <w:r>
              <w:rPr>
                <w:rFonts w:eastAsia="方正仿宋_GBK"/>
                <w:bCs/>
                <w:kern w:val="0"/>
                <w:sz w:val="24"/>
                <w:szCs w:val="24"/>
                <w:u w:val="single"/>
                <w:lang w:bidi="ar"/>
              </w:rPr>
              <w:t>铭星半导体、睿科半导体、中舜微电子、</w:t>
            </w:r>
            <w:r>
              <w:rPr>
                <w:rFonts w:eastAsia="方正仿宋_GBK"/>
                <w:bCs/>
                <w:kern w:val="0"/>
                <w:sz w:val="24"/>
                <w:szCs w:val="24"/>
                <w:lang w:bidi="ar"/>
              </w:rPr>
              <w:t>晶方科技、睿创微纳、太极实业等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continue"/>
            <w:tcMar>
              <w:top w:w="15" w:type="dxa"/>
              <w:left w:w="15" w:type="dxa"/>
              <w:right w:w="15" w:type="dxa"/>
            </w:tcMar>
            <w:vAlign w:val="center"/>
          </w:tcPr>
          <w:p>
            <w:pPr>
              <w:widowControl/>
              <w:jc w:val="center"/>
              <w:textAlignment w:val="center"/>
              <w:rPr>
                <w:rFonts w:eastAsia="方正仿宋_GBK"/>
                <w:b/>
                <w:bCs/>
                <w:kern w:val="0"/>
                <w:sz w:val="24"/>
                <w:szCs w:val="24"/>
                <w:lang w:bidi="ar"/>
              </w:rPr>
            </w:pPr>
          </w:p>
        </w:tc>
        <w:tc>
          <w:tcPr>
            <w:tcW w:w="3517"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设备材料</w:t>
            </w:r>
          </w:p>
        </w:tc>
        <w:tc>
          <w:tcPr>
            <w:tcW w:w="4421" w:type="dxa"/>
            <w:vAlign w:val="center"/>
          </w:tcPr>
          <w:p>
            <w:pPr>
              <w:widowControl/>
              <w:textAlignment w:val="center"/>
              <w:rPr>
                <w:rFonts w:eastAsia="方正仿宋_GBK"/>
                <w:bCs/>
                <w:kern w:val="0"/>
                <w:sz w:val="24"/>
                <w:szCs w:val="24"/>
                <w:lang w:bidi="ar"/>
              </w:rPr>
            </w:pPr>
            <w:r>
              <w:rPr>
                <w:rFonts w:eastAsia="方正仿宋_GBK"/>
                <w:bCs/>
                <w:kern w:val="0"/>
                <w:sz w:val="24"/>
                <w:szCs w:val="24"/>
                <w:u w:val="single"/>
                <w:lang w:bidi="ar"/>
              </w:rPr>
              <w:t>聚力成半导体、</w:t>
            </w:r>
            <w:r>
              <w:rPr>
                <w:rFonts w:eastAsia="方正仿宋_GBK"/>
                <w:bCs/>
                <w:kern w:val="0"/>
                <w:sz w:val="24"/>
                <w:szCs w:val="24"/>
                <w:lang w:bidi="ar"/>
              </w:rPr>
              <w:t>博威合金、上海新阳、汇丰电子、北方华创、长电科技等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tcMar>
              <w:top w:w="15" w:type="dxa"/>
              <w:left w:w="15" w:type="dxa"/>
              <w:right w:w="15" w:type="dxa"/>
            </w:tcMar>
            <w:vAlign w:val="center"/>
          </w:tcPr>
          <w:p>
            <w:pPr>
              <w:widowControl/>
              <w:jc w:val="center"/>
              <w:textAlignment w:val="center"/>
              <w:rPr>
                <w:rFonts w:eastAsia="方正仿宋_GBK"/>
                <w:b/>
                <w:kern w:val="0"/>
                <w:sz w:val="24"/>
                <w:szCs w:val="24"/>
                <w:lang w:bidi="ar"/>
              </w:rPr>
            </w:pPr>
            <w:r>
              <w:rPr>
                <w:rFonts w:eastAsia="方正仿宋_GBK"/>
                <w:b/>
                <w:kern w:val="0"/>
                <w:sz w:val="24"/>
                <w:szCs w:val="24"/>
                <w:lang w:bidi="ar"/>
              </w:rPr>
              <w:t>光电影像</w:t>
            </w:r>
          </w:p>
        </w:tc>
        <w:tc>
          <w:tcPr>
            <w:tcW w:w="3517"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光学材料、光学元件、光学整机等</w:t>
            </w:r>
          </w:p>
        </w:tc>
        <w:tc>
          <w:tcPr>
            <w:tcW w:w="4421" w:type="dxa"/>
            <w:vAlign w:val="center"/>
          </w:tcPr>
          <w:p>
            <w:pPr>
              <w:widowControl/>
              <w:textAlignment w:val="center"/>
              <w:rPr>
                <w:rFonts w:eastAsia="方正仿宋_GBK"/>
                <w:bCs/>
                <w:kern w:val="0"/>
                <w:sz w:val="24"/>
                <w:szCs w:val="24"/>
                <w:lang w:bidi="ar"/>
              </w:rPr>
            </w:pPr>
            <w:r>
              <w:rPr>
                <w:rFonts w:eastAsia="方正仿宋_GBK"/>
                <w:bCs/>
                <w:kern w:val="0"/>
                <w:sz w:val="24"/>
                <w:szCs w:val="24"/>
                <w:u w:val="single"/>
                <w:lang w:bidi="ar"/>
              </w:rPr>
              <w:t>佳禾光电、盛泰光电、中舜微电子、</w:t>
            </w:r>
            <w:r>
              <w:rPr>
                <w:rFonts w:eastAsia="方正仿宋_GBK"/>
                <w:bCs/>
                <w:kern w:val="0"/>
                <w:sz w:val="24"/>
                <w:szCs w:val="24"/>
                <w:lang w:bidi="ar"/>
              </w:rPr>
              <w:t>奥普光电、晶方科技、水晶光电、东旭光电、华天科技、瑞仪光电、中芯国际等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tcMar>
              <w:top w:w="15" w:type="dxa"/>
              <w:left w:w="15" w:type="dxa"/>
              <w:right w:w="15" w:type="dxa"/>
            </w:tcMar>
            <w:vAlign w:val="center"/>
          </w:tcPr>
          <w:p>
            <w:pPr>
              <w:widowControl/>
              <w:jc w:val="center"/>
              <w:textAlignment w:val="center"/>
              <w:rPr>
                <w:rFonts w:eastAsia="方正仿宋_GBK"/>
                <w:b/>
                <w:bCs/>
                <w:kern w:val="0"/>
                <w:sz w:val="24"/>
                <w:szCs w:val="24"/>
                <w:lang w:bidi="ar"/>
              </w:rPr>
            </w:pPr>
            <w:r>
              <w:rPr>
                <w:rFonts w:eastAsia="方正仿宋_GBK"/>
                <w:b/>
                <w:bCs/>
                <w:kern w:val="0"/>
                <w:sz w:val="24"/>
                <w:szCs w:val="24"/>
                <w:lang w:bidi="ar"/>
              </w:rPr>
              <w:t>笔电配套</w:t>
            </w:r>
          </w:p>
        </w:tc>
        <w:tc>
          <w:tcPr>
            <w:tcW w:w="3517" w:type="dxa"/>
            <w:tcMar>
              <w:top w:w="15" w:type="dxa"/>
              <w:left w:w="15" w:type="dxa"/>
              <w:right w:w="15" w:type="dxa"/>
            </w:tcMar>
            <w:vAlign w:val="center"/>
          </w:tcPr>
          <w:p>
            <w:pPr>
              <w:widowControl/>
              <w:textAlignment w:val="center"/>
              <w:rPr>
                <w:rFonts w:eastAsia="方正仿宋_GBK"/>
                <w:kern w:val="0"/>
                <w:sz w:val="24"/>
                <w:szCs w:val="24"/>
                <w:lang w:bidi="ar"/>
              </w:rPr>
            </w:pPr>
            <w:r>
              <w:rPr>
                <w:rFonts w:eastAsia="方正仿宋_GBK"/>
                <w:kern w:val="0"/>
                <w:sz w:val="24"/>
                <w:szCs w:val="24"/>
                <w:lang w:bidi="ar"/>
              </w:rPr>
              <w:t>战略器件、结构件、其他零部件、整机制造等</w:t>
            </w:r>
          </w:p>
        </w:tc>
        <w:tc>
          <w:tcPr>
            <w:tcW w:w="4421" w:type="dxa"/>
            <w:vAlign w:val="center"/>
          </w:tcPr>
          <w:p>
            <w:pPr>
              <w:widowControl/>
              <w:textAlignment w:val="center"/>
              <w:rPr>
                <w:rFonts w:eastAsia="方正仿宋_GBK"/>
                <w:kern w:val="0"/>
                <w:sz w:val="24"/>
                <w:szCs w:val="24"/>
                <w:lang w:bidi="ar"/>
              </w:rPr>
            </w:pPr>
            <w:r>
              <w:rPr>
                <w:rFonts w:eastAsia="方正仿宋_GBK"/>
                <w:kern w:val="0"/>
                <w:sz w:val="24"/>
                <w:szCs w:val="24"/>
                <w:u w:val="single"/>
                <w:lang w:bidi="ar"/>
              </w:rPr>
              <w:t>巨腾、宇海、忆悦五金、舜得科技、</w:t>
            </w:r>
            <w:r>
              <w:rPr>
                <w:rFonts w:eastAsia="方正仿宋_GBK"/>
                <w:kern w:val="0"/>
                <w:sz w:val="24"/>
                <w:szCs w:val="24"/>
                <w:lang w:bidi="ar"/>
              </w:rPr>
              <w:t>闻泰科技、澜起科技、长盈精密等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restart"/>
            <w:tcMar>
              <w:top w:w="15" w:type="dxa"/>
              <w:left w:w="15" w:type="dxa"/>
              <w:right w:w="15" w:type="dxa"/>
            </w:tcMar>
            <w:vAlign w:val="center"/>
          </w:tcPr>
          <w:p>
            <w:pPr>
              <w:widowControl/>
              <w:jc w:val="center"/>
              <w:textAlignment w:val="center"/>
              <w:rPr>
                <w:rFonts w:eastAsia="方正仿宋_GBK"/>
                <w:b/>
                <w:bCs/>
                <w:kern w:val="0"/>
                <w:sz w:val="24"/>
                <w:szCs w:val="24"/>
                <w:lang w:bidi="ar"/>
              </w:rPr>
            </w:pPr>
            <w:r>
              <w:rPr>
                <w:rFonts w:eastAsia="方正仿宋_GBK"/>
                <w:b/>
                <w:bCs/>
                <w:kern w:val="0"/>
                <w:sz w:val="24"/>
                <w:szCs w:val="24"/>
                <w:lang w:bidi="ar"/>
              </w:rPr>
              <w:t>智能终端</w:t>
            </w:r>
          </w:p>
        </w:tc>
        <w:tc>
          <w:tcPr>
            <w:tcW w:w="3517" w:type="dxa"/>
            <w:tcMar>
              <w:top w:w="15" w:type="dxa"/>
              <w:left w:w="15" w:type="dxa"/>
              <w:right w:w="15" w:type="dxa"/>
            </w:tcMar>
            <w:vAlign w:val="center"/>
          </w:tcPr>
          <w:p>
            <w:pPr>
              <w:widowControl/>
              <w:textAlignment w:val="center"/>
              <w:rPr>
                <w:rFonts w:eastAsia="方正仿宋_GBK"/>
                <w:kern w:val="0"/>
                <w:sz w:val="24"/>
                <w:szCs w:val="24"/>
                <w:lang w:bidi="ar"/>
              </w:rPr>
            </w:pPr>
            <w:r>
              <w:rPr>
                <w:rFonts w:eastAsia="方正仿宋_GBK"/>
                <w:kern w:val="0"/>
                <w:sz w:val="24"/>
                <w:szCs w:val="24"/>
                <w:lang w:bidi="ar"/>
              </w:rPr>
              <w:t>智能手机：战略硬件、结构件、其他零部件、整机等</w:t>
            </w:r>
          </w:p>
        </w:tc>
        <w:tc>
          <w:tcPr>
            <w:tcW w:w="4421" w:type="dxa"/>
            <w:vAlign w:val="center"/>
          </w:tcPr>
          <w:p>
            <w:pPr>
              <w:widowControl/>
              <w:textAlignment w:val="center"/>
              <w:rPr>
                <w:rFonts w:eastAsia="方正仿宋_GBK"/>
                <w:bCs/>
                <w:kern w:val="0"/>
                <w:sz w:val="24"/>
                <w:szCs w:val="24"/>
                <w:lang w:bidi="ar"/>
              </w:rPr>
            </w:pPr>
            <w:r>
              <w:rPr>
                <w:rFonts w:eastAsia="方正仿宋_GBK"/>
                <w:bCs/>
                <w:kern w:val="0"/>
                <w:sz w:val="24"/>
                <w:szCs w:val="24"/>
                <w:u w:val="single"/>
                <w:lang w:bidi="ar"/>
              </w:rPr>
              <w:t>立玻光电、兴恒达、</w:t>
            </w:r>
            <w:r>
              <w:rPr>
                <w:rFonts w:eastAsia="方正仿宋_GBK"/>
                <w:bCs/>
                <w:kern w:val="0"/>
                <w:sz w:val="24"/>
                <w:szCs w:val="24"/>
                <w:lang w:bidi="ar"/>
              </w:rPr>
              <w:t>联创电子、立讯精密、歌尔股份、华为、OPPO等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continue"/>
            <w:tcMar>
              <w:top w:w="15" w:type="dxa"/>
              <w:left w:w="15" w:type="dxa"/>
              <w:right w:w="15" w:type="dxa"/>
            </w:tcMar>
            <w:vAlign w:val="center"/>
          </w:tcPr>
          <w:p>
            <w:pPr>
              <w:widowControl/>
              <w:jc w:val="center"/>
              <w:textAlignment w:val="center"/>
              <w:rPr>
                <w:rFonts w:eastAsia="方正仿宋_GBK"/>
                <w:b/>
                <w:bCs/>
                <w:kern w:val="0"/>
                <w:sz w:val="24"/>
                <w:szCs w:val="24"/>
                <w:lang w:bidi="ar"/>
              </w:rPr>
            </w:pPr>
          </w:p>
        </w:tc>
        <w:tc>
          <w:tcPr>
            <w:tcW w:w="3517" w:type="dxa"/>
            <w:tcMar>
              <w:top w:w="15" w:type="dxa"/>
              <w:left w:w="15" w:type="dxa"/>
              <w:right w:w="15" w:type="dxa"/>
            </w:tcMar>
            <w:vAlign w:val="center"/>
          </w:tcPr>
          <w:p>
            <w:pPr>
              <w:widowControl/>
              <w:textAlignment w:val="center"/>
              <w:rPr>
                <w:rFonts w:eastAsia="方正仿宋_GBK"/>
                <w:kern w:val="0"/>
                <w:sz w:val="24"/>
                <w:szCs w:val="24"/>
                <w:lang w:bidi="ar"/>
              </w:rPr>
            </w:pPr>
            <w:r>
              <w:rPr>
                <w:rFonts w:eastAsia="方正仿宋_GBK"/>
                <w:kern w:val="0"/>
                <w:sz w:val="24"/>
                <w:szCs w:val="24"/>
                <w:lang w:bidi="ar"/>
              </w:rPr>
              <w:t>智能家具：智能电视、智能白色家电</w:t>
            </w:r>
          </w:p>
        </w:tc>
        <w:tc>
          <w:tcPr>
            <w:tcW w:w="4421" w:type="dxa"/>
            <w:vAlign w:val="center"/>
          </w:tcPr>
          <w:p>
            <w:pPr>
              <w:widowControl/>
              <w:textAlignment w:val="center"/>
              <w:rPr>
                <w:rFonts w:eastAsia="方正仿宋_GBK"/>
                <w:kern w:val="0"/>
                <w:sz w:val="24"/>
                <w:szCs w:val="24"/>
                <w:lang w:bidi="ar"/>
              </w:rPr>
            </w:pPr>
            <w:r>
              <w:rPr>
                <w:rFonts w:eastAsia="方正仿宋_GBK"/>
                <w:kern w:val="0"/>
                <w:sz w:val="24"/>
                <w:szCs w:val="24"/>
                <w:lang w:bidi="ar"/>
              </w:rPr>
              <w:t>科沃斯、石头科技、海尔等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restart"/>
            <w:tcMar>
              <w:top w:w="15" w:type="dxa"/>
              <w:left w:w="15" w:type="dxa"/>
              <w:right w:w="15" w:type="dxa"/>
            </w:tcMar>
            <w:vAlign w:val="center"/>
          </w:tcPr>
          <w:p>
            <w:pPr>
              <w:widowControl/>
              <w:jc w:val="center"/>
              <w:textAlignment w:val="center"/>
              <w:rPr>
                <w:rFonts w:eastAsia="方正仿宋_GBK"/>
                <w:b/>
                <w:bCs/>
                <w:kern w:val="0"/>
                <w:sz w:val="24"/>
                <w:szCs w:val="24"/>
                <w:lang w:bidi="ar"/>
              </w:rPr>
            </w:pPr>
            <w:r>
              <w:rPr>
                <w:rFonts w:eastAsia="方正仿宋_GBK"/>
                <w:b/>
                <w:bCs/>
                <w:kern w:val="0"/>
                <w:sz w:val="24"/>
                <w:szCs w:val="24"/>
                <w:lang w:bidi="ar"/>
              </w:rPr>
              <w:t>智能机器人</w:t>
            </w:r>
          </w:p>
        </w:tc>
        <w:tc>
          <w:tcPr>
            <w:tcW w:w="3517"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kern w:val="0"/>
                <w:sz w:val="24"/>
                <w:szCs w:val="24"/>
                <w:lang w:bidi="ar"/>
              </w:rPr>
              <w:t>核心零部件：控制系统、传感器、驱动器、减速器、伺服电机等</w:t>
            </w:r>
          </w:p>
        </w:tc>
        <w:tc>
          <w:tcPr>
            <w:tcW w:w="4421" w:type="dxa"/>
            <w:vAlign w:val="center"/>
          </w:tcPr>
          <w:p>
            <w:pPr>
              <w:widowControl/>
              <w:textAlignment w:val="center"/>
              <w:rPr>
                <w:rFonts w:eastAsia="方正仿宋_GBK"/>
                <w:kern w:val="0"/>
                <w:sz w:val="24"/>
                <w:szCs w:val="24"/>
                <w:lang w:bidi="ar"/>
              </w:rPr>
            </w:pPr>
            <w:r>
              <w:rPr>
                <w:rFonts w:eastAsia="方正仿宋_GBK"/>
                <w:kern w:val="0"/>
                <w:sz w:val="24"/>
                <w:szCs w:val="24"/>
                <w:lang w:bidi="ar"/>
              </w:rPr>
              <w:t>新时达、华中数控、长盈精密、连硕科技、汇川技术、蓝黛科技、新松机器人、克来机电、东讯光电、北超伺服等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continue"/>
            <w:tcMar>
              <w:top w:w="15" w:type="dxa"/>
              <w:left w:w="15" w:type="dxa"/>
              <w:right w:w="15" w:type="dxa"/>
            </w:tcMar>
            <w:vAlign w:val="center"/>
          </w:tcPr>
          <w:p>
            <w:pPr>
              <w:widowControl/>
              <w:jc w:val="center"/>
              <w:textAlignment w:val="center"/>
              <w:rPr>
                <w:rFonts w:eastAsia="方正仿宋_GBK"/>
                <w:b/>
                <w:bCs/>
                <w:kern w:val="0"/>
                <w:sz w:val="24"/>
                <w:szCs w:val="24"/>
                <w:lang w:bidi="ar"/>
              </w:rPr>
            </w:pPr>
          </w:p>
        </w:tc>
        <w:tc>
          <w:tcPr>
            <w:tcW w:w="3517" w:type="dxa"/>
            <w:tcMar>
              <w:top w:w="15" w:type="dxa"/>
              <w:left w:w="15" w:type="dxa"/>
              <w:right w:w="15" w:type="dxa"/>
            </w:tcMar>
            <w:vAlign w:val="center"/>
          </w:tcPr>
          <w:p>
            <w:pPr>
              <w:widowControl/>
              <w:textAlignment w:val="center"/>
              <w:rPr>
                <w:rFonts w:eastAsia="方正仿宋_GBK"/>
                <w:kern w:val="0"/>
                <w:sz w:val="24"/>
                <w:szCs w:val="24"/>
                <w:lang w:bidi="ar"/>
              </w:rPr>
            </w:pPr>
            <w:r>
              <w:rPr>
                <w:rFonts w:eastAsia="方正仿宋_GBK"/>
                <w:kern w:val="0"/>
                <w:sz w:val="24"/>
                <w:szCs w:val="24"/>
                <w:lang w:bidi="ar"/>
              </w:rPr>
              <w:t>机器人系统集成及本体制造：搬运机器人、激光切割机器人、装配机器人、分拣机器人等</w:t>
            </w:r>
          </w:p>
        </w:tc>
        <w:tc>
          <w:tcPr>
            <w:tcW w:w="4421" w:type="dxa"/>
            <w:vAlign w:val="center"/>
          </w:tcPr>
          <w:p>
            <w:pPr>
              <w:widowControl/>
              <w:textAlignment w:val="center"/>
              <w:rPr>
                <w:rFonts w:eastAsia="方正仿宋_GBK"/>
                <w:kern w:val="0"/>
                <w:sz w:val="24"/>
                <w:szCs w:val="24"/>
                <w:lang w:bidi="ar"/>
              </w:rPr>
            </w:pPr>
            <w:r>
              <w:rPr>
                <w:rFonts w:eastAsia="方正仿宋_GBK"/>
                <w:kern w:val="0"/>
                <w:sz w:val="24"/>
                <w:szCs w:val="24"/>
                <w:u w:val="single"/>
                <w:lang w:bidi="ar"/>
              </w:rPr>
              <w:t>瀚德高科机器人、斯睿机器人、德裕鑫智能、向日葵、承锋智能装备、</w:t>
            </w:r>
            <w:r>
              <w:rPr>
                <w:rFonts w:eastAsia="方正仿宋_GBK"/>
                <w:kern w:val="0"/>
                <w:sz w:val="24"/>
                <w:szCs w:val="24"/>
                <w:lang w:bidi="ar"/>
              </w:rPr>
              <w:t>贝斯特、上海沪工、三丰智能、元创、重庆华数、发那科、重庆川崎、科大智能、快克股份等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1147" w:type="dxa"/>
            <w:vMerge w:val="continue"/>
            <w:tcMar>
              <w:top w:w="15" w:type="dxa"/>
              <w:left w:w="15" w:type="dxa"/>
              <w:right w:w="15" w:type="dxa"/>
            </w:tcMar>
            <w:vAlign w:val="center"/>
          </w:tcPr>
          <w:p>
            <w:pPr>
              <w:widowControl/>
              <w:jc w:val="center"/>
              <w:textAlignment w:val="center"/>
              <w:rPr>
                <w:rFonts w:eastAsia="方正仿宋_GBK"/>
                <w:b/>
                <w:bCs/>
                <w:kern w:val="0"/>
                <w:sz w:val="24"/>
                <w:szCs w:val="24"/>
                <w:lang w:bidi="ar"/>
              </w:rPr>
            </w:pPr>
          </w:p>
        </w:tc>
        <w:tc>
          <w:tcPr>
            <w:tcW w:w="3517" w:type="dxa"/>
            <w:tcMar>
              <w:top w:w="15" w:type="dxa"/>
              <w:left w:w="15" w:type="dxa"/>
              <w:right w:w="15" w:type="dxa"/>
            </w:tcMar>
            <w:vAlign w:val="center"/>
          </w:tcPr>
          <w:p>
            <w:pPr>
              <w:widowControl/>
              <w:textAlignment w:val="center"/>
              <w:rPr>
                <w:rFonts w:eastAsia="方正仿宋_GBK"/>
                <w:kern w:val="0"/>
                <w:sz w:val="24"/>
                <w:szCs w:val="24"/>
                <w:lang w:bidi="ar"/>
              </w:rPr>
            </w:pPr>
            <w:r>
              <w:rPr>
                <w:rFonts w:eastAsia="方正仿宋_GBK"/>
                <w:kern w:val="0"/>
                <w:sz w:val="24"/>
                <w:szCs w:val="24"/>
                <w:lang w:bidi="ar"/>
              </w:rPr>
              <w:t>检测服务</w:t>
            </w:r>
          </w:p>
        </w:tc>
        <w:tc>
          <w:tcPr>
            <w:tcW w:w="4421" w:type="dxa"/>
            <w:vAlign w:val="center"/>
          </w:tcPr>
          <w:p>
            <w:pPr>
              <w:widowControl/>
              <w:textAlignment w:val="center"/>
              <w:rPr>
                <w:rFonts w:eastAsia="方正仿宋_GBK"/>
                <w:kern w:val="0"/>
                <w:sz w:val="24"/>
                <w:szCs w:val="24"/>
                <w:lang w:bidi="ar"/>
              </w:rPr>
            </w:pPr>
            <w:r>
              <w:rPr>
                <w:rFonts w:eastAsia="方正仿宋_GBK"/>
                <w:kern w:val="0"/>
                <w:sz w:val="24"/>
                <w:szCs w:val="24"/>
                <w:lang w:bidi="ar"/>
              </w:rPr>
              <w:t>国家机器人检测与评定中心、常州工业机器人检测实验室等</w:t>
            </w:r>
          </w:p>
        </w:tc>
      </w:tr>
    </w:tbl>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4．静脉产业集群</w:t>
      </w:r>
    </w:p>
    <w:p>
      <w:pPr>
        <w:spacing w:line="594" w:lineRule="exact"/>
        <w:ind w:firstLine="640" w:firstLineChars="200"/>
        <w:rPr>
          <w:rFonts w:eastAsia="方正仿宋_GBK"/>
          <w:sz w:val="32"/>
          <w:szCs w:val="32"/>
        </w:rPr>
      </w:pPr>
      <w:r>
        <w:rPr>
          <w:rFonts w:eastAsia="方正仿宋_GBK"/>
          <w:sz w:val="32"/>
          <w:szCs w:val="32"/>
        </w:rPr>
        <w:t>推动再生钢、再生铅、再生铝、废水处理等项目提档升级，引进培育节能环保材料、废旧拆解、管道等产业业态，着力引进贵重金属提炼、精深加工、再制造等产业，构建“资源—产品—再生资源”闭环经济模式，建成中国西部最大的高质量循环经济产业园和青少年环保教育基地。到2025年，静脉产业工业总产值达到320亿元，规上工业总产值达到270亿元。</w:t>
      </w:r>
    </w:p>
    <w:p>
      <w:pPr>
        <w:spacing w:line="594" w:lineRule="exact"/>
        <w:ind w:firstLine="643" w:firstLineChars="200"/>
        <w:rPr>
          <w:rFonts w:eastAsia="方正仿宋_GBK"/>
          <w:sz w:val="32"/>
          <w:szCs w:val="32"/>
        </w:rPr>
      </w:pPr>
      <w:r>
        <w:rPr>
          <w:rFonts w:eastAsia="方正仿宋_GBK"/>
          <w:b/>
          <w:bCs/>
          <w:sz w:val="32"/>
          <w:szCs w:val="32"/>
        </w:rPr>
        <w:t>再生金属。</w:t>
      </w:r>
      <w:r>
        <w:rPr>
          <w:rFonts w:eastAsia="方正仿宋_GBK"/>
          <w:sz w:val="32"/>
          <w:szCs w:val="32"/>
        </w:rPr>
        <w:t>以新能源汽车拆解、汽车零部件再制造以及再生钢、铝、铅深加工等为重点，加快再生资源集团报废汽车拆解、推动足航钢铁等企业提档升级，顺博铝业铝灰综合利用、春兴再生资源铅资源综合利用及深加工等项目建设。加速推动中天电子废弃物的深度利用及威立雅废气废水处理项目建设。积极引进江西环锂、广东邦普、格林美等企业，不断完善产业链条。</w:t>
      </w:r>
    </w:p>
    <w:p>
      <w:pPr>
        <w:spacing w:line="594" w:lineRule="exact"/>
        <w:ind w:firstLine="643" w:firstLineChars="200"/>
      </w:pPr>
      <w:r>
        <w:rPr>
          <w:rFonts w:eastAsia="方正仿宋_GBK"/>
          <w:b/>
          <w:bCs/>
          <w:sz w:val="32"/>
          <w:szCs w:val="32"/>
        </w:rPr>
        <w:t>废旧拆解。</w:t>
      </w:r>
      <w:r>
        <w:rPr>
          <w:rFonts w:eastAsia="方正仿宋_GBK"/>
          <w:sz w:val="32"/>
          <w:szCs w:val="32"/>
        </w:rPr>
        <w:t>依托重庆再生资源和双渝报废汽车拆解利用等企业优势资源，建立报废汽车回收网点，进一步畅通回收渠道，确保原料供应稳定。推动汽车拆解生产线技改扩能，提高汽车拆解能力和技术水平。依托大足区现有铅蓄电池生产及回收产业基础，积极引导艾诺斯、科博等存量蓄电池生产企业和再生铅生产企业深度合作，发展、布局铅蓄电池回收产业。瞄准锂电池回收及再利用，聚焦动力锂电池、储能锂电池领域，大力推进锂电池回收企业加速推进废旧锂电池定级、拆解处理产业链，完善二手锂电池翻新和报废锂电池隔膜、外壳、铝箔、正极材料等资源回收产业链。着眼成渝地区汽车后市场及服务业市场需求，共商共建成渝地区静脉产业联盟，规范再生资源回收利用秩序。</w:t>
      </w:r>
    </w:p>
    <w:p>
      <w:pPr>
        <w:spacing w:line="594" w:lineRule="exact"/>
        <w:ind w:firstLine="643" w:firstLineChars="200"/>
        <w:rPr>
          <w:rFonts w:eastAsia="方正仿宋_GBK"/>
          <w:b/>
          <w:bCs/>
          <w:sz w:val="32"/>
          <w:szCs w:val="32"/>
        </w:rPr>
      </w:pPr>
      <w:r>
        <w:rPr>
          <w:rFonts w:eastAsia="方正仿宋_GBK"/>
          <w:b/>
          <w:bCs/>
          <w:sz w:val="32"/>
          <w:szCs w:val="32"/>
        </w:rPr>
        <w:t>节能环保</w:t>
      </w:r>
      <w:r>
        <w:rPr>
          <w:rFonts w:eastAsia="方正仿宋_GBK"/>
          <w:sz w:val="32"/>
          <w:szCs w:val="32"/>
        </w:rPr>
        <w:t>。加快培育节能环保材料、节能环保设备研发、节能环保技术与服务等产业业态，推动锦大富、万裕泓、王子包装、海南发控、源和环保等环保包装、环保装备企业落地投产，支持威立雅环境资源服务中心扩能增效。积极引进页岩气专用设备企业，加速产业集聚；拓展页岩气开采系统装备、页岩气专用环保设备生产环节，吸引一批节能环保项目落地，推动与区内其他节能环保产业高质量发展。</w:t>
      </w:r>
    </w:p>
    <w:p>
      <w:pPr>
        <w:spacing w:line="594" w:lineRule="exact"/>
        <w:ind w:firstLine="643" w:firstLineChars="200"/>
        <w:rPr>
          <w:rFonts w:eastAsia="方正仿宋_GBK"/>
        </w:rPr>
      </w:pPr>
      <w:r>
        <w:rPr>
          <w:rFonts w:eastAsia="方正仿宋_GBK"/>
          <w:b/>
          <w:bCs/>
          <w:sz w:val="32"/>
          <w:szCs w:val="32"/>
        </w:rPr>
        <w:t>管道产业。</w:t>
      </w:r>
      <w:r>
        <w:rPr>
          <w:rFonts w:eastAsia="方正仿宋_GBK"/>
          <w:sz w:val="32"/>
          <w:szCs w:val="32"/>
        </w:rPr>
        <w:t>加快管道产业从管道制造、销售、安装，到检测、监测、修复的管道全生命周期布局，进一步丰富管材产品类型，推动金山洋生、胜邦、泓一、金若等环保管道项目建设。强化热熔环氧粉末和三层聚乙烯（3PE）防腐技术的成熟应用，积极发展3PE防腐钢管、不锈钢管等新型管材。</w:t>
      </w:r>
    </w:p>
    <w:p>
      <w:pPr>
        <w:pStyle w:val="7"/>
        <w:spacing w:after="120" w:afterLines="50" w:line="594" w:lineRule="exact"/>
        <w:ind w:left="0" w:firstLine="562" w:firstLineChars="200"/>
        <w:jc w:val="center"/>
        <w:rPr>
          <w:rFonts w:eastAsia="方正仿宋_GBK"/>
          <w:b/>
          <w:bCs/>
          <w:sz w:val="28"/>
          <w:szCs w:val="28"/>
        </w:rPr>
      </w:pPr>
      <w:r>
        <w:rPr>
          <w:rFonts w:eastAsia="方正仿宋_GBK"/>
          <w:b/>
          <w:bCs/>
          <w:sz w:val="28"/>
          <w:szCs w:val="28"/>
        </w:rPr>
        <w:t>专栏4  静脉产业发展方向、重点产品及企业</w:t>
      </w:r>
    </w:p>
    <w:tbl>
      <w:tblPr>
        <w:tblStyle w:val="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70"/>
        <w:gridCol w:w="3031"/>
        <w:gridCol w:w="5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blHeader/>
          <w:jc w:val="center"/>
        </w:trPr>
        <w:tc>
          <w:tcPr>
            <w:tcW w:w="1370" w:type="dxa"/>
            <w:tcMar>
              <w:top w:w="10" w:type="dxa"/>
              <w:left w:w="10" w:type="dxa"/>
              <w:right w:w="10" w:type="dxa"/>
            </w:tcMar>
            <w:vAlign w:val="top"/>
          </w:tcPr>
          <w:p>
            <w:pPr>
              <w:widowControl/>
              <w:jc w:val="center"/>
              <w:textAlignment w:val="top"/>
              <w:rPr>
                <w:rFonts w:eastAsia="方正仿宋_GBK"/>
                <w:b/>
                <w:sz w:val="24"/>
                <w:szCs w:val="24"/>
              </w:rPr>
            </w:pPr>
            <w:r>
              <w:rPr>
                <w:rFonts w:eastAsia="方正仿宋_GBK"/>
                <w:b/>
                <w:kern w:val="0"/>
                <w:sz w:val="24"/>
                <w:szCs w:val="24"/>
                <w:lang w:bidi="ar"/>
              </w:rPr>
              <w:t>类别</w:t>
            </w:r>
          </w:p>
        </w:tc>
        <w:tc>
          <w:tcPr>
            <w:tcW w:w="3031" w:type="dxa"/>
            <w:tcMar>
              <w:top w:w="10" w:type="dxa"/>
              <w:left w:w="10" w:type="dxa"/>
              <w:right w:w="10" w:type="dxa"/>
            </w:tcMar>
            <w:vAlign w:val="top"/>
          </w:tcPr>
          <w:p>
            <w:pPr>
              <w:widowControl/>
              <w:jc w:val="center"/>
              <w:textAlignment w:val="top"/>
              <w:rPr>
                <w:rFonts w:eastAsia="方正仿宋_GBK"/>
                <w:b/>
                <w:sz w:val="24"/>
                <w:szCs w:val="24"/>
              </w:rPr>
            </w:pPr>
            <w:r>
              <w:rPr>
                <w:rFonts w:eastAsia="方正仿宋_GBK"/>
                <w:b/>
                <w:kern w:val="0"/>
                <w:sz w:val="24"/>
                <w:szCs w:val="24"/>
                <w:lang w:bidi="ar"/>
              </w:rPr>
              <w:t>发展方向及重点产品</w:t>
            </w:r>
          </w:p>
        </w:tc>
        <w:tc>
          <w:tcPr>
            <w:tcW w:w="5157" w:type="dxa"/>
            <w:tcMar>
              <w:top w:w="10" w:type="dxa"/>
              <w:left w:w="10" w:type="dxa"/>
              <w:right w:w="10" w:type="dxa"/>
            </w:tcMar>
            <w:vAlign w:val="top"/>
          </w:tcPr>
          <w:p>
            <w:pPr>
              <w:widowControl/>
              <w:jc w:val="center"/>
              <w:textAlignment w:val="top"/>
              <w:rPr>
                <w:rFonts w:eastAsia="方正仿宋_GBK"/>
                <w:b/>
                <w:kern w:val="0"/>
                <w:sz w:val="24"/>
                <w:szCs w:val="24"/>
                <w:lang w:bidi="ar"/>
              </w:rPr>
            </w:pPr>
            <w:r>
              <w:rPr>
                <w:rFonts w:eastAsia="方正仿宋_GBK"/>
                <w:b/>
                <w:kern w:val="0"/>
                <w:sz w:val="24"/>
                <w:szCs w:val="24"/>
                <w:lang w:bidi="ar"/>
              </w:rPr>
              <w:t>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1370" w:type="dxa"/>
            <w:vMerge w:val="restart"/>
            <w:tcMar>
              <w:top w:w="10" w:type="dxa"/>
              <w:left w:w="10" w:type="dxa"/>
              <w:right w:w="10" w:type="dxa"/>
            </w:tcMar>
            <w:vAlign w:val="center"/>
          </w:tcPr>
          <w:p>
            <w:pPr>
              <w:widowControl/>
              <w:jc w:val="center"/>
              <w:textAlignment w:val="center"/>
              <w:rPr>
                <w:rFonts w:eastAsia="方正仿宋_GBK"/>
                <w:b/>
                <w:sz w:val="24"/>
                <w:szCs w:val="24"/>
              </w:rPr>
            </w:pPr>
            <w:r>
              <w:rPr>
                <w:rFonts w:eastAsia="方正仿宋_GBK"/>
                <w:b/>
                <w:sz w:val="24"/>
                <w:szCs w:val="24"/>
              </w:rPr>
              <w:t>再生金属</w:t>
            </w:r>
          </w:p>
        </w:tc>
        <w:tc>
          <w:tcPr>
            <w:tcW w:w="3031" w:type="dxa"/>
            <w:tcMar>
              <w:top w:w="10" w:type="dxa"/>
              <w:left w:w="10" w:type="dxa"/>
              <w:right w:w="10" w:type="dxa"/>
            </w:tcMar>
            <w:vAlign w:val="center"/>
          </w:tcPr>
          <w:p>
            <w:pPr>
              <w:widowControl/>
              <w:textAlignment w:val="center"/>
              <w:rPr>
                <w:rFonts w:eastAsia="方正仿宋_GBK"/>
                <w:kern w:val="0"/>
                <w:sz w:val="24"/>
                <w:szCs w:val="24"/>
                <w:lang w:bidi="ar"/>
              </w:rPr>
            </w:pPr>
            <w:r>
              <w:rPr>
                <w:rFonts w:eastAsia="方正仿宋_GBK"/>
                <w:kern w:val="0"/>
                <w:sz w:val="24"/>
                <w:szCs w:val="24"/>
                <w:lang w:bidi="ar"/>
              </w:rPr>
              <w:t>不同种类有色金属或合金分类收集、回收。</w:t>
            </w:r>
          </w:p>
        </w:tc>
        <w:tc>
          <w:tcPr>
            <w:tcW w:w="5157" w:type="dxa"/>
            <w:tcMar>
              <w:top w:w="10" w:type="dxa"/>
              <w:left w:w="10" w:type="dxa"/>
              <w:right w:w="10" w:type="dxa"/>
            </w:tcMar>
            <w:vAlign w:val="center"/>
          </w:tcPr>
          <w:p>
            <w:pPr>
              <w:widowControl/>
              <w:textAlignment w:val="center"/>
              <w:rPr>
                <w:rFonts w:eastAsia="方正仿宋_GBK"/>
                <w:kern w:val="0"/>
                <w:sz w:val="24"/>
                <w:szCs w:val="24"/>
                <w:lang w:bidi="ar"/>
              </w:rPr>
            </w:pPr>
            <w:r>
              <w:rPr>
                <w:rFonts w:eastAsia="方正仿宋_GBK"/>
                <w:kern w:val="0"/>
                <w:sz w:val="24"/>
                <w:szCs w:val="24"/>
                <w:u w:val="single"/>
                <w:lang w:bidi="ar"/>
              </w:rPr>
              <w:t>重庆汇集再生资源</w:t>
            </w:r>
            <w:r>
              <w:rPr>
                <w:rFonts w:eastAsia="方正仿宋_GBK"/>
                <w:kern w:val="0"/>
                <w:sz w:val="24"/>
                <w:szCs w:val="24"/>
                <w:lang w:bidi="ar"/>
              </w:rPr>
              <w:t>、</w:t>
            </w:r>
            <w:r>
              <w:rPr>
                <w:rFonts w:eastAsia="方正仿宋_GBK"/>
                <w:kern w:val="0"/>
                <w:sz w:val="24"/>
                <w:szCs w:val="24"/>
                <w:u w:val="single"/>
                <w:lang w:bidi="ar"/>
              </w:rPr>
              <w:t>重庆市大足区佳航金属制品</w:t>
            </w:r>
            <w:r>
              <w:rPr>
                <w:rFonts w:eastAsia="方正仿宋_GBK"/>
                <w:kern w:val="0"/>
                <w:sz w:val="24"/>
                <w:szCs w:val="24"/>
                <w:lang w:bidi="ar"/>
              </w:rPr>
              <w:t>、</w:t>
            </w:r>
            <w:r>
              <w:rPr>
                <w:rFonts w:eastAsia="方正仿宋_GBK"/>
                <w:kern w:val="0"/>
                <w:sz w:val="24"/>
                <w:szCs w:val="24"/>
                <w:u w:val="single"/>
                <w:lang w:bidi="ar"/>
              </w:rPr>
              <w:t>重庆壬顺金属、</w:t>
            </w:r>
            <w:r>
              <w:rPr>
                <w:rFonts w:eastAsia="方正仿宋_GBK"/>
                <w:kern w:val="0"/>
                <w:sz w:val="24"/>
                <w:szCs w:val="24"/>
                <w:lang w:bidi="ar"/>
              </w:rPr>
              <w:t>怡球金属资源再生、江苏华宏科技、中国宝安集团、格林美股份、重庆万里新能源等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1370" w:type="dxa"/>
            <w:vMerge w:val="continue"/>
            <w:tcMar>
              <w:top w:w="10" w:type="dxa"/>
              <w:left w:w="10" w:type="dxa"/>
              <w:right w:w="10" w:type="dxa"/>
            </w:tcMar>
            <w:vAlign w:val="center"/>
          </w:tcPr>
          <w:p>
            <w:pPr>
              <w:widowControl/>
              <w:jc w:val="center"/>
              <w:textAlignment w:val="center"/>
              <w:rPr>
                <w:rFonts w:eastAsia="方正仿宋_GBK"/>
                <w:b/>
                <w:sz w:val="24"/>
                <w:szCs w:val="24"/>
              </w:rPr>
            </w:pPr>
          </w:p>
        </w:tc>
        <w:tc>
          <w:tcPr>
            <w:tcW w:w="3031" w:type="dxa"/>
            <w:tcMar>
              <w:top w:w="10" w:type="dxa"/>
              <w:left w:w="10" w:type="dxa"/>
              <w:right w:w="10" w:type="dxa"/>
            </w:tcMar>
            <w:vAlign w:val="center"/>
          </w:tcPr>
          <w:p>
            <w:pPr>
              <w:widowControl/>
              <w:textAlignment w:val="center"/>
              <w:rPr>
                <w:rFonts w:eastAsia="方正仿宋_GBK"/>
                <w:kern w:val="0"/>
                <w:sz w:val="24"/>
                <w:szCs w:val="24"/>
                <w:lang w:bidi="ar"/>
              </w:rPr>
            </w:pPr>
            <w:r>
              <w:rPr>
                <w:rFonts w:eastAsia="方正仿宋_GBK"/>
                <w:kern w:val="0"/>
                <w:sz w:val="24"/>
                <w:szCs w:val="24"/>
                <w:lang w:bidi="ar"/>
              </w:rPr>
              <w:t>薄板、装配式建筑、汽车特殊用钢、粗钢、普钢、不锈钢、特钢等相关金属制造</w:t>
            </w:r>
          </w:p>
        </w:tc>
        <w:tc>
          <w:tcPr>
            <w:tcW w:w="5157" w:type="dxa"/>
            <w:tcMar>
              <w:top w:w="10" w:type="dxa"/>
              <w:left w:w="10" w:type="dxa"/>
              <w:right w:w="10" w:type="dxa"/>
            </w:tcMar>
            <w:vAlign w:val="center"/>
          </w:tcPr>
          <w:p>
            <w:pPr>
              <w:widowControl/>
              <w:textAlignment w:val="center"/>
              <w:rPr>
                <w:rFonts w:eastAsia="方正仿宋_GBK"/>
                <w:kern w:val="0"/>
                <w:sz w:val="24"/>
                <w:szCs w:val="24"/>
                <w:lang w:bidi="ar"/>
              </w:rPr>
            </w:pPr>
            <w:r>
              <w:rPr>
                <w:rFonts w:eastAsia="方正仿宋_GBK"/>
                <w:kern w:val="0"/>
                <w:sz w:val="24"/>
                <w:szCs w:val="24"/>
                <w:lang w:bidi="ar"/>
              </w:rPr>
              <w:t>广州永大、山东莱钢、攀钢、</w:t>
            </w:r>
            <w:r>
              <w:rPr>
                <w:rFonts w:eastAsia="方正仿宋_GBK"/>
                <w:kern w:val="0"/>
                <w:sz w:val="24"/>
                <w:szCs w:val="24"/>
                <w:u w:val="single"/>
                <w:lang w:bidi="ar"/>
              </w:rPr>
              <w:t>重庆足航钢铁、</w:t>
            </w:r>
            <w:r>
              <w:rPr>
                <w:rFonts w:eastAsia="方正仿宋_GBK"/>
                <w:kern w:val="0"/>
                <w:sz w:val="24"/>
                <w:szCs w:val="24"/>
                <w:lang w:bidi="ar"/>
              </w:rPr>
              <w:t>唐山中再生资源开发等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1370" w:type="dxa"/>
            <w:vMerge w:val="continue"/>
            <w:tcMar>
              <w:top w:w="10" w:type="dxa"/>
              <w:left w:w="10" w:type="dxa"/>
              <w:right w:w="10" w:type="dxa"/>
            </w:tcMar>
            <w:vAlign w:val="center"/>
          </w:tcPr>
          <w:p>
            <w:pPr>
              <w:widowControl/>
              <w:jc w:val="center"/>
              <w:textAlignment w:val="center"/>
              <w:rPr>
                <w:rFonts w:eastAsia="方正仿宋_GBK"/>
                <w:b/>
                <w:sz w:val="24"/>
                <w:szCs w:val="24"/>
              </w:rPr>
            </w:pPr>
          </w:p>
        </w:tc>
        <w:tc>
          <w:tcPr>
            <w:tcW w:w="3031" w:type="dxa"/>
            <w:tcMar>
              <w:top w:w="10" w:type="dxa"/>
              <w:left w:w="10" w:type="dxa"/>
              <w:right w:w="10" w:type="dxa"/>
            </w:tcMar>
            <w:vAlign w:val="center"/>
          </w:tcPr>
          <w:p>
            <w:pPr>
              <w:widowControl/>
              <w:textAlignment w:val="center"/>
              <w:rPr>
                <w:rFonts w:eastAsia="方正仿宋_GBK"/>
                <w:kern w:val="0"/>
                <w:sz w:val="24"/>
                <w:szCs w:val="24"/>
                <w:lang w:bidi="ar"/>
              </w:rPr>
            </w:pPr>
            <w:r>
              <w:rPr>
                <w:rFonts w:eastAsia="方正仿宋_GBK"/>
                <w:kern w:val="0"/>
                <w:sz w:val="24"/>
                <w:szCs w:val="24"/>
                <w:lang w:bidi="ar"/>
              </w:rPr>
              <w:t>电池回收、电池行业</w:t>
            </w:r>
          </w:p>
        </w:tc>
        <w:tc>
          <w:tcPr>
            <w:tcW w:w="5157" w:type="dxa"/>
            <w:tcMar>
              <w:top w:w="10" w:type="dxa"/>
              <w:left w:w="10" w:type="dxa"/>
              <w:right w:w="10" w:type="dxa"/>
            </w:tcMar>
            <w:vAlign w:val="center"/>
          </w:tcPr>
          <w:p>
            <w:pPr>
              <w:widowControl/>
              <w:textAlignment w:val="center"/>
              <w:rPr>
                <w:rFonts w:eastAsia="方正仿宋_GBK"/>
                <w:kern w:val="0"/>
                <w:sz w:val="24"/>
                <w:szCs w:val="24"/>
                <w:lang w:bidi="ar"/>
              </w:rPr>
            </w:pPr>
            <w:r>
              <w:rPr>
                <w:rFonts w:eastAsia="方正仿宋_GBK"/>
                <w:kern w:val="0"/>
                <w:sz w:val="24"/>
                <w:szCs w:val="24"/>
                <w:u w:val="single"/>
                <w:lang w:bidi="ar"/>
              </w:rPr>
              <w:t>重庆科博蓄电池</w:t>
            </w:r>
            <w:r>
              <w:rPr>
                <w:rFonts w:eastAsia="方正仿宋_GBK"/>
                <w:kern w:val="0"/>
                <w:sz w:val="24"/>
                <w:szCs w:val="24"/>
                <w:lang w:bidi="ar"/>
              </w:rPr>
              <w:t>、</w:t>
            </w:r>
            <w:r>
              <w:rPr>
                <w:rFonts w:eastAsia="方正仿宋_GBK"/>
                <w:kern w:val="0"/>
                <w:sz w:val="24"/>
                <w:szCs w:val="24"/>
                <w:u w:val="single"/>
                <w:lang w:bidi="ar"/>
              </w:rPr>
              <w:t>重庆一电</w:t>
            </w:r>
            <w:r>
              <w:rPr>
                <w:rFonts w:eastAsia="方正仿宋_GBK"/>
                <w:kern w:val="0"/>
                <w:sz w:val="24"/>
                <w:szCs w:val="24"/>
                <w:lang w:bidi="ar"/>
              </w:rPr>
              <w:t>、</w:t>
            </w:r>
            <w:r>
              <w:rPr>
                <w:rFonts w:eastAsia="方正仿宋_GBK"/>
                <w:kern w:val="0"/>
                <w:sz w:val="24"/>
                <w:szCs w:val="24"/>
                <w:u w:val="single"/>
                <w:lang w:bidi="ar"/>
              </w:rPr>
              <w:t>重庆春兴再生资源</w:t>
            </w:r>
            <w:r>
              <w:rPr>
                <w:rFonts w:eastAsia="方正仿宋_GBK"/>
                <w:kern w:val="0"/>
                <w:sz w:val="24"/>
                <w:szCs w:val="24"/>
                <w:lang w:bidi="ar"/>
              </w:rPr>
              <w:t>、</w:t>
            </w:r>
            <w:r>
              <w:rPr>
                <w:rFonts w:eastAsia="方正仿宋_GBK"/>
                <w:kern w:val="0"/>
                <w:sz w:val="24"/>
                <w:szCs w:val="24"/>
                <w:u w:val="single"/>
                <w:lang w:bidi="ar"/>
              </w:rPr>
              <w:t>重庆德能再生资源综合利用</w:t>
            </w:r>
            <w:r>
              <w:rPr>
                <w:rFonts w:eastAsia="方正仿宋_GBK"/>
                <w:kern w:val="0"/>
                <w:sz w:val="24"/>
                <w:szCs w:val="24"/>
                <w:lang w:bidi="ar"/>
              </w:rPr>
              <w:t>、艾诺斯、桑德集团等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1370" w:type="dxa"/>
            <w:vMerge w:val="continue"/>
            <w:tcMar>
              <w:top w:w="10" w:type="dxa"/>
              <w:left w:w="10" w:type="dxa"/>
              <w:right w:w="10" w:type="dxa"/>
            </w:tcMar>
            <w:vAlign w:val="center"/>
          </w:tcPr>
          <w:p>
            <w:pPr>
              <w:widowControl/>
              <w:jc w:val="center"/>
              <w:textAlignment w:val="center"/>
              <w:rPr>
                <w:rFonts w:eastAsia="方正仿宋_GBK"/>
                <w:b/>
                <w:sz w:val="24"/>
                <w:szCs w:val="24"/>
              </w:rPr>
            </w:pPr>
          </w:p>
        </w:tc>
        <w:tc>
          <w:tcPr>
            <w:tcW w:w="3031" w:type="dxa"/>
            <w:tcMar>
              <w:top w:w="10" w:type="dxa"/>
              <w:left w:w="10" w:type="dxa"/>
              <w:right w:w="10" w:type="dxa"/>
            </w:tcMar>
            <w:vAlign w:val="center"/>
          </w:tcPr>
          <w:p>
            <w:pPr>
              <w:widowControl/>
              <w:textAlignment w:val="center"/>
              <w:rPr>
                <w:rFonts w:eastAsia="方正仿宋_GBK"/>
                <w:kern w:val="0"/>
                <w:sz w:val="24"/>
                <w:szCs w:val="24"/>
                <w:lang w:bidi="ar"/>
              </w:rPr>
            </w:pPr>
            <w:r>
              <w:rPr>
                <w:rFonts w:eastAsia="方正仿宋_GBK"/>
                <w:kern w:val="0"/>
                <w:sz w:val="24"/>
                <w:szCs w:val="24"/>
                <w:lang w:bidi="ar"/>
              </w:rPr>
              <w:t>电缆护套、化工产品、电动摩托车电瓶</w:t>
            </w:r>
          </w:p>
        </w:tc>
        <w:tc>
          <w:tcPr>
            <w:tcW w:w="5157" w:type="dxa"/>
            <w:tcMar>
              <w:top w:w="10" w:type="dxa"/>
              <w:left w:w="10" w:type="dxa"/>
              <w:right w:w="10" w:type="dxa"/>
            </w:tcMar>
            <w:vAlign w:val="center"/>
          </w:tcPr>
          <w:p>
            <w:pPr>
              <w:widowControl/>
              <w:textAlignment w:val="center"/>
              <w:rPr>
                <w:rFonts w:eastAsia="方正仿宋_GBK"/>
                <w:kern w:val="0"/>
                <w:sz w:val="24"/>
                <w:szCs w:val="24"/>
                <w:lang w:bidi="ar"/>
              </w:rPr>
            </w:pPr>
            <w:r>
              <w:rPr>
                <w:rFonts w:eastAsia="方正仿宋_GBK"/>
                <w:kern w:val="0"/>
                <w:sz w:val="24"/>
                <w:szCs w:val="24"/>
                <w:lang w:bidi="ar"/>
              </w:rPr>
              <w:t>河南豫光金铅集团、天津天缆、山东睿凯天能、猛犸、超威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62" w:hRule="atLeast"/>
          <w:jc w:val="center"/>
        </w:trPr>
        <w:tc>
          <w:tcPr>
            <w:tcW w:w="1370" w:type="dxa"/>
            <w:vMerge w:val="restart"/>
            <w:tcMar>
              <w:top w:w="10" w:type="dxa"/>
              <w:left w:w="10" w:type="dxa"/>
              <w:right w:w="10" w:type="dxa"/>
            </w:tcMar>
            <w:vAlign w:val="center"/>
          </w:tcPr>
          <w:p>
            <w:pPr>
              <w:widowControl/>
              <w:jc w:val="center"/>
              <w:textAlignment w:val="center"/>
              <w:rPr>
                <w:rFonts w:eastAsia="方正仿宋_GBK"/>
                <w:b/>
                <w:sz w:val="24"/>
                <w:szCs w:val="24"/>
              </w:rPr>
            </w:pPr>
            <w:r>
              <w:rPr>
                <w:rFonts w:eastAsia="方正仿宋_GBK"/>
                <w:b/>
                <w:kern w:val="0"/>
                <w:sz w:val="24"/>
                <w:szCs w:val="24"/>
                <w:lang w:bidi="ar"/>
              </w:rPr>
              <w:t>废旧拆解</w:t>
            </w:r>
          </w:p>
        </w:tc>
        <w:tc>
          <w:tcPr>
            <w:tcW w:w="3031" w:type="dxa"/>
            <w:tcMar>
              <w:top w:w="10" w:type="dxa"/>
              <w:left w:w="10" w:type="dxa"/>
              <w:right w:w="10" w:type="dxa"/>
            </w:tcMar>
            <w:vAlign w:val="center"/>
          </w:tcPr>
          <w:p>
            <w:pPr>
              <w:widowControl/>
              <w:textAlignment w:val="center"/>
              <w:rPr>
                <w:rFonts w:eastAsia="方正仿宋_GBK"/>
                <w:kern w:val="0"/>
                <w:sz w:val="24"/>
                <w:szCs w:val="24"/>
                <w:lang w:bidi="ar"/>
              </w:rPr>
            </w:pPr>
            <w:r>
              <w:rPr>
                <w:rFonts w:eastAsia="方正仿宋_GBK"/>
                <w:sz w:val="24"/>
                <w:szCs w:val="24"/>
              </w:rPr>
              <w:t>报废汽车回收、事故车拍卖、报废汽车拆解、报废零部件分选、发动机再制造、变速器再制造、前后桥再制造、转向器再制造、车架再制造、其他零部件再制造等。</w:t>
            </w:r>
          </w:p>
        </w:tc>
        <w:tc>
          <w:tcPr>
            <w:tcW w:w="5157" w:type="dxa"/>
            <w:tcMar>
              <w:top w:w="10" w:type="dxa"/>
              <w:left w:w="10" w:type="dxa"/>
              <w:right w:w="10" w:type="dxa"/>
            </w:tcMar>
            <w:vAlign w:val="center"/>
          </w:tcPr>
          <w:p>
            <w:pPr>
              <w:widowControl/>
              <w:textAlignment w:val="center"/>
              <w:rPr>
                <w:rFonts w:eastAsia="方正仿宋_GBK"/>
                <w:sz w:val="24"/>
                <w:szCs w:val="24"/>
              </w:rPr>
            </w:pPr>
            <w:r>
              <w:rPr>
                <w:rFonts w:eastAsia="方正仿宋_GBK"/>
                <w:sz w:val="24"/>
                <w:szCs w:val="24"/>
                <w:u w:val="single"/>
              </w:rPr>
              <w:t>重庆市报废汽车（集团）</w:t>
            </w:r>
            <w:r>
              <w:rPr>
                <w:rFonts w:eastAsia="方正仿宋_GBK"/>
                <w:sz w:val="24"/>
                <w:szCs w:val="24"/>
              </w:rPr>
              <w:t>、天奇自动化工程、格林美、邵阳市明杰资源开发利用、唐山中再生资源开发</w:t>
            </w:r>
          </w:p>
          <w:p>
            <w:pPr>
              <w:widowControl/>
              <w:textAlignment w:val="center"/>
              <w:rPr>
                <w:rFonts w:eastAsia="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3" w:hRule="atLeast"/>
          <w:jc w:val="center"/>
        </w:trPr>
        <w:tc>
          <w:tcPr>
            <w:tcW w:w="1370" w:type="dxa"/>
            <w:vMerge w:val="continue"/>
            <w:tcMar>
              <w:top w:w="10" w:type="dxa"/>
              <w:left w:w="10" w:type="dxa"/>
              <w:right w:w="10" w:type="dxa"/>
            </w:tcMar>
            <w:vAlign w:val="center"/>
          </w:tcPr>
          <w:p>
            <w:pPr>
              <w:widowControl/>
              <w:jc w:val="center"/>
              <w:textAlignment w:val="center"/>
              <w:rPr>
                <w:rFonts w:eastAsia="方正仿宋_GBK"/>
                <w:b/>
                <w:kern w:val="0"/>
                <w:sz w:val="24"/>
                <w:szCs w:val="24"/>
                <w:lang w:bidi="ar"/>
              </w:rPr>
            </w:pPr>
          </w:p>
        </w:tc>
        <w:tc>
          <w:tcPr>
            <w:tcW w:w="3031" w:type="dxa"/>
            <w:tcMar>
              <w:top w:w="10" w:type="dxa"/>
              <w:left w:w="10" w:type="dxa"/>
              <w:right w:w="10" w:type="dxa"/>
            </w:tcMar>
            <w:vAlign w:val="center"/>
          </w:tcPr>
          <w:p>
            <w:pPr>
              <w:widowControl/>
              <w:textAlignment w:val="center"/>
              <w:rPr>
                <w:rFonts w:eastAsia="方正仿宋_GBK"/>
                <w:kern w:val="0"/>
                <w:sz w:val="24"/>
                <w:szCs w:val="24"/>
                <w:lang w:bidi="ar"/>
              </w:rPr>
            </w:pPr>
            <w:r>
              <w:rPr>
                <w:rFonts w:eastAsia="方正仿宋_GBK"/>
                <w:sz w:val="24"/>
                <w:szCs w:val="24"/>
              </w:rPr>
              <w:t>废旧电子电器拆解：</w:t>
            </w:r>
            <w:r>
              <w:rPr>
                <w:rFonts w:eastAsia="方正仿宋_GBK"/>
                <w:kern w:val="0"/>
                <w:sz w:val="24"/>
                <w:szCs w:val="24"/>
                <w:lang w:bidi="ar"/>
              </w:rPr>
              <w:t>废旧电池收集、废旧电池拆解、废旧电池深加工等。</w:t>
            </w:r>
          </w:p>
          <w:p>
            <w:pPr>
              <w:widowControl/>
              <w:textAlignment w:val="center"/>
              <w:rPr>
                <w:rFonts w:eastAsia="方正仿宋_GBK"/>
                <w:sz w:val="24"/>
                <w:szCs w:val="24"/>
              </w:rPr>
            </w:pPr>
          </w:p>
        </w:tc>
        <w:tc>
          <w:tcPr>
            <w:tcW w:w="5157" w:type="dxa"/>
            <w:tcMar>
              <w:top w:w="10" w:type="dxa"/>
              <w:left w:w="10" w:type="dxa"/>
              <w:right w:w="10" w:type="dxa"/>
            </w:tcMar>
            <w:vAlign w:val="center"/>
          </w:tcPr>
          <w:p>
            <w:pPr>
              <w:widowControl/>
              <w:textAlignment w:val="center"/>
              <w:rPr>
                <w:rFonts w:eastAsia="方正仿宋_GBK"/>
                <w:sz w:val="24"/>
                <w:szCs w:val="24"/>
              </w:rPr>
            </w:pPr>
            <w:r>
              <w:rPr>
                <w:rFonts w:eastAsia="方正仿宋_GBK"/>
                <w:sz w:val="24"/>
                <w:szCs w:val="24"/>
                <w:u w:val="single"/>
              </w:rPr>
              <w:t>重庆胜铭再生资源回收</w:t>
            </w:r>
            <w:r>
              <w:rPr>
                <w:rFonts w:eastAsia="方正仿宋_GBK"/>
                <w:sz w:val="24"/>
                <w:szCs w:val="24"/>
              </w:rPr>
              <w:t>、</w:t>
            </w:r>
            <w:r>
              <w:rPr>
                <w:rFonts w:eastAsia="方正仿宋_GBK"/>
                <w:sz w:val="24"/>
                <w:szCs w:val="24"/>
                <w:u w:val="single"/>
              </w:rPr>
              <w:t>中态盛信</w:t>
            </w:r>
            <w:r>
              <w:rPr>
                <w:rFonts w:eastAsia="方正仿宋_GBK"/>
                <w:sz w:val="24"/>
                <w:szCs w:val="24"/>
              </w:rPr>
              <w:t>、</w:t>
            </w:r>
            <w:r>
              <w:rPr>
                <w:rFonts w:eastAsia="方正仿宋_GBK"/>
                <w:sz w:val="24"/>
                <w:szCs w:val="24"/>
                <w:u w:val="single"/>
              </w:rPr>
              <w:t>重庆鼎盛环保</w:t>
            </w:r>
            <w:r>
              <w:rPr>
                <w:rFonts w:eastAsia="方正仿宋_GBK"/>
                <w:sz w:val="24"/>
                <w:szCs w:val="24"/>
              </w:rPr>
              <w:t>、</w:t>
            </w:r>
            <w:r>
              <w:rPr>
                <w:rFonts w:eastAsia="方正仿宋_GBK"/>
                <w:sz w:val="24"/>
                <w:szCs w:val="24"/>
                <w:u w:val="single"/>
              </w:rPr>
              <w:t>中天电子</w:t>
            </w:r>
            <w:r>
              <w:rPr>
                <w:rFonts w:eastAsia="方正仿宋_GBK"/>
                <w:sz w:val="24"/>
                <w:szCs w:val="24"/>
              </w:rPr>
              <w:t>、华新绿源环保、四川长虹格润、唐山中再生资源开发、江苏苏北废旧汽车家电拆解再生利用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6" w:hRule="atLeast"/>
          <w:jc w:val="center"/>
        </w:trPr>
        <w:tc>
          <w:tcPr>
            <w:tcW w:w="1370" w:type="dxa"/>
            <w:vMerge w:val="continue"/>
            <w:tcMar>
              <w:top w:w="10" w:type="dxa"/>
              <w:left w:w="10" w:type="dxa"/>
              <w:right w:w="10" w:type="dxa"/>
            </w:tcMar>
            <w:vAlign w:val="center"/>
          </w:tcPr>
          <w:p>
            <w:pPr>
              <w:widowControl/>
              <w:jc w:val="center"/>
              <w:textAlignment w:val="center"/>
              <w:rPr>
                <w:rFonts w:eastAsia="方正仿宋_GBK"/>
                <w:b/>
                <w:kern w:val="0"/>
                <w:sz w:val="24"/>
                <w:szCs w:val="24"/>
                <w:lang w:bidi="ar"/>
              </w:rPr>
            </w:pPr>
          </w:p>
        </w:tc>
        <w:tc>
          <w:tcPr>
            <w:tcW w:w="3031" w:type="dxa"/>
            <w:tcMar>
              <w:top w:w="10" w:type="dxa"/>
              <w:left w:w="10" w:type="dxa"/>
              <w:right w:w="10" w:type="dxa"/>
            </w:tcMar>
            <w:vAlign w:val="center"/>
          </w:tcPr>
          <w:p>
            <w:pPr>
              <w:widowControl/>
              <w:textAlignment w:val="center"/>
              <w:rPr>
                <w:rFonts w:eastAsia="方正仿宋_GBK"/>
                <w:sz w:val="24"/>
                <w:szCs w:val="24"/>
              </w:rPr>
            </w:pPr>
            <w:r>
              <w:rPr>
                <w:rFonts w:eastAsia="方正仿宋_GBK"/>
                <w:sz w:val="24"/>
                <w:szCs w:val="24"/>
              </w:rPr>
              <w:t>钢铁冶炼、有色金属冶炼、塑料再生等再利用</w:t>
            </w:r>
          </w:p>
        </w:tc>
        <w:tc>
          <w:tcPr>
            <w:tcW w:w="5157" w:type="dxa"/>
            <w:tcMar>
              <w:top w:w="10" w:type="dxa"/>
              <w:left w:w="10" w:type="dxa"/>
              <w:right w:w="10" w:type="dxa"/>
            </w:tcMar>
            <w:vAlign w:val="center"/>
          </w:tcPr>
          <w:p>
            <w:pPr>
              <w:widowControl/>
              <w:textAlignment w:val="center"/>
              <w:rPr>
                <w:rFonts w:eastAsia="方正仿宋_GBK"/>
                <w:sz w:val="24"/>
                <w:szCs w:val="24"/>
              </w:rPr>
            </w:pPr>
            <w:r>
              <w:rPr>
                <w:rFonts w:eastAsia="方正仿宋_GBK"/>
                <w:sz w:val="24"/>
                <w:szCs w:val="24"/>
                <w:u w:val="single"/>
              </w:rPr>
              <w:t>重庆足航钢铁</w:t>
            </w:r>
            <w:r>
              <w:rPr>
                <w:rFonts w:eastAsia="方正仿宋_GBK"/>
                <w:sz w:val="24"/>
                <w:szCs w:val="24"/>
              </w:rPr>
              <w:t>、铜陵有色金属集团、四川长虹格</w:t>
            </w:r>
          </w:p>
          <w:p>
            <w:pPr>
              <w:widowControl/>
              <w:textAlignment w:val="center"/>
              <w:rPr>
                <w:rFonts w:eastAsia="方正仿宋_GBK"/>
                <w:sz w:val="24"/>
                <w:szCs w:val="24"/>
              </w:rPr>
            </w:pPr>
            <w:r>
              <w:rPr>
                <w:rFonts w:eastAsia="方正仿宋_GBK"/>
                <w:sz w:val="24"/>
                <w:szCs w:val="24"/>
              </w:rPr>
              <w:t>润环保、新疆金塔有色金属、吉林蓝天固废处理</w:t>
            </w:r>
          </w:p>
          <w:p>
            <w:pPr>
              <w:widowControl/>
              <w:textAlignment w:val="center"/>
              <w:rPr>
                <w:rFonts w:eastAsia="方正仿宋_GBK"/>
                <w:sz w:val="24"/>
                <w:szCs w:val="24"/>
              </w:rPr>
            </w:pPr>
            <w:r>
              <w:rPr>
                <w:rFonts w:eastAsia="方正仿宋_GBK"/>
                <w:sz w:val="24"/>
                <w:szCs w:val="24"/>
              </w:rPr>
              <w:t>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3" w:hRule="atLeast"/>
          <w:jc w:val="center"/>
        </w:trPr>
        <w:tc>
          <w:tcPr>
            <w:tcW w:w="1370" w:type="dxa"/>
            <w:vMerge w:val="restart"/>
            <w:tcMar>
              <w:top w:w="10" w:type="dxa"/>
              <w:left w:w="10" w:type="dxa"/>
              <w:right w:w="10" w:type="dxa"/>
            </w:tcMar>
            <w:vAlign w:val="center"/>
          </w:tcPr>
          <w:p>
            <w:pPr>
              <w:widowControl/>
              <w:jc w:val="center"/>
              <w:textAlignment w:val="center"/>
              <w:rPr>
                <w:rFonts w:eastAsia="方正仿宋_GBK"/>
                <w:b/>
                <w:sz w:val="24"/>
                <w:szCs w:val="24"/>
              </w:rPr>
            </w:pPr>
            <w:r>
              <w:rPr>
                <w:rFonts w:eastAsia="方正仿宋_GBK"/>
                <w:b/>
                <w:sz w:val="24"/>
                <w:szCs w:val="24"/>
              </w:rPr>
              <w:t>节能环保</w:t>
            </w:r>
          </w:p>
        </w:tc>
        <w:tc>
          <w:tcPr>
            <w:tcW w:w="3031" w:type="dxa"/>
            <w:tcMar>
              <w:top w:w="10" w:type="dxa"/>
              <w:left w:w="10" w:type="dxa"/>
              <w:right w:w="10" w:type="dxa"/>
            </w:tcMar>
            <w:vAlign w:val="center"/>
          </w:tcPr>
          <w:p>
            <w:pPr>
              <w:widowControl/>
              <w:jc w:val="left"/>
              <w:textAlignment w:val="center"/>
              <w:rPr>
                <w:rFonts w:eastAsia="方正仿宋_GBK"/>
                <w:sz w:val="24"/>
                <w:szCs w:val="24"/>
              </w:rPr>
            </w:pPr>
            <w:r>
              <w:rPr>
                <w:rFonts w:eastAsia="方正仿宋_GBK"/>
                <w:sz w:val="24"/>
                <w:szCs w:val="24"/>
              </w:rPr>
              <w:t>废水处理</w:t>
            </w:r>
          </w:p>
        </w:tc>
        <w:tc>
          <w:tcPr>
            <w:tcW w:w="5157" w:type="dxa"/>
            <w:tcMar>
              <w:top w:w="10" w:type="dxa"/>
              <w:left w:w="10" w:type="dxa"/>
              <w:right w:w="10" w:type="dxa"/>
            </w:tcMar>
            <w:vAlign w:val="center"/>
          </w:tcPr>
          <w:p>
            <w:pPr>
              <w:widowControl/>
              <w:jc w:val="left"/>
              <w:textAlignment w:val="center"/>
              <w:rPr>
                <w:rFonts w:eastAsia="方正仿宋_GBK"/>
                <w:sz w:val="24"/>
                <w:szCs w:val="24"/>
              </w:rPr>
            </w:pPr>
            <w:r>
              <w:rPr>
                <w:rFonts w:eastAsia="方正仿宋_GBK"/>
                <w:sz w:val="24"/>
                <w:szCs w:val="24"/>
                <w:u w:val="single"/>
              </w:rPr>
              <w:t>威立雅</w:t>
            </w:r>
            <w:r>
              <w:rPr>
                <w:rFonts w:eastAsia="方正仿宋_GBK"/>
                <w:sz w:val="24"/>
                <w:szCs w:val="24"/>
              </w:rPr>
              <w:t>、</w:t>
            </w:r>
            <w:r>
              <w:rPr>
                <w:rFonts w:eastAsia="方正仿宋_GBK"/>
                <w:sz w:val="24"/>
                <w:szCs w:val="24"/>
                <w:u w:val="single"/>
              </w:rPr>
              <w:t>重庆睿得</w:t>
            </w:r>
            <w:r>
              <w:rPr>
                <w:rFonts w:eastAsia="方正仿宋_GBK"/>
                <w:sz w:val="24"/>
                <w:szCs w:val="24"/>
              </w:rPr>
              <w:t>、</w:t>
            </w:r>
            <w:r>
              <w:rPr>
                <w:rFonts w:eastAsia="方正仿宋_GBK"/>
                <w:sz w:val="24"/>
                <w:szCs w:val="24"/>
                <w:u w:val="single"/>
              </w:rPr>
              <w:t>重庆槿沐</w:t>
            </w:r>
            <w:r>
              <w:rPr>
                <w:rFonts w:eastAsia="方正仿宋_GBK"/>
                <w:sz w:val="24"/>
                <w:szCs w:val="24"/>
              </w:rPr>
              <w:t>、</w:t>
            </w:r>
            <w:r>
              <w:rPr>
                <w:rFonts w:eastAsia="方正仿宋_GBK"/>
                <w:sz w:val="24"/>
                <w:szCs w:val="24"/>
                <w:u w:val="single"/>
              </w:rPr>
              <w:t>重庆三贡再生资源</w:t>
            </w:r>
            <w:r>
              <w:rPr>
                <w:rFonts w:eastAsia="方正仿宋_GBK"/>
                <w:sz w:val="24"/>
                <w:szCs w:val="24"/>
              </w:rPr>
              <w:t>、</w:t>
            </w:r>
            <w:r>
              <w:rPr>
                <w:rFonts w:eastAsia="方正仿宋_GBK"/>
                <w:sz w:val="24"/>
                <w:szCs w:val="24"/>
                <w:u w:val="single"/>
              </w:rPr>
              <w:t>重庆瀚渝再生</w:t>
            </w:r>
            <w:r>
              <w:rPr>
                <w:rFonts w:eastAsia="方正仿宋_GBK"/>
                <w:sz w:val="24"/>
                <w:szCs w:val="24"/>
              </w:rPr>
              <w:t>、兴源环境科技、北京碧水源、中原环保股份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3" w:hRule="atLeast"/>
          <w:jc w:val="center"/>
        </w:trPr>
        <w:tc>
          <w:tcPr>
            <w:tcW w:w="1370" w:type="dxa"/>
            <w:vMerge w:val="continue"/>
            <w:tcMar>
              <w:top w:w="10" w:type="dxa"/>
              <w:left w:w="10" w:type="dxa"/>
              <w:right w:w="10" w:type="dxa"/>
            </w:tcMar>
            <w:vAlign w:val="center"/>
          </w:tcPr>
          <w:p>
            <w:pPr>
              <w:widowControl/>
              <w:jc w:val="center"/>
              <w:textAlignment w:val="center"/>
              <w:rPr>
                <w:rFonts w:eastAsia="方正仿宋_GBK"/>
                <w:b/>
                <w:sz w:val="24"/>
                <w:szCs w:val="24"/>
              </w:rPr>
            </w:pPr>
          </w:p>
        </w:tc>
        <w:tc>
          <w:tcPr>
            <w:tcW w:w="3031" w:type="dxa"/>
            <w:tcMar>
              <w:top w:w="10" w:type="dxa"/>
              <w:left w:w="10" w:type="dxa"/>
              <w:right w:w="10" w:type="dxa"/>
            </w:tcMar>
            <w:vAlign w:val="center"/>
          </w:tcPr>
          <w:p>
            <w:pPr>
              <w:widowControl/>
              <w:jc w:val="left"/>
              <w:textAlignment w:val="center"/>
              <w:rPr>
                <w:rFonts w:eastAsia="方正仿宋_GBK"/>
                <w:sz w:val="24"/>
                <w:szCs w:val="24"/>
              </w:rPr>
            </w:pPr>
            <w:r>
              <w:rPr>
                <w:rFonts w:eastAsia="方正仿宋_GBK"/>
                <w:sz w:val="24"/>
                <w:szCs w:val="24"/>
              </w:rPr>
              <w:t>废气处理</w:t>
            </w:r>
          </w:p>
        </w:tc>
        <w:tc>
          <w:tcPr>
            <w:tcW w:w="5157" w:type="dxa"/>
            <w:tcMar>
              <w:top w:w="10" w:type="dxa"/>
              <w:left w:w="10" w:type="dxa"/>
              <w:right w:w="10" w:type="dxa"/>
            </w:tcMar>
            <w:vAlign w:val="center"/>
          </w:tcPr>
          <w:p>
            <w:pPr>
              <w:widowControl/>
              <w:jc w:val="left"/>
              <w:textAlignment w:val="center"/>
              <w:rPr>
                <w:rFonts w:eastAsia="方正仿宋_GBK"/>
                <w:sz w:val="24"/>
                <w:szCs w:val="24"/>
              </w:rPr>
            </w:pPr>
            <w:r>
              <w:rPr>
                <w:rFonts w:eastAsia="方正仿宋_GBK"/>
                <w:sz w:val="24"/>
                <w:szCs w:val="24"/>
              </w:rPr>
              <w:t>北京国电清新环保、北京三聚环保新材料、山东三维石化工程、深圳龙净环保科技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3" w:hRule="atLeast"/>
          <w:jc w:val="center"/>
        </w:trPr>
        <w:tc>
          <w:tcPr>
            <w:tcW w:w="1370" w:type="dxa"/>
            <w:vMerge w:val="continue"/>
            <w:tcMar>
              <w:top w:w="10" w:type="dxa"/>
              <w:left w:w="10" w:type="dxa"/>
              <w:right w:w="10" w:type="dxa"/>
            </w:tcMar>
            <w:vAlign w:val="center"/>
          </w:tcPr>
          <w:p>
            <w:pPr>
              <w:widowControl/>
              <w:jc w:val="center"/>
              <w:textAlignment w:val="center"/>
              <w:rPr>
                <w:rFonts w:eastAsia="方正仿宋_GBK"/>
                <w:b/>
                <w:sz w:val="24"/>
                <w:szCs w:val="24"/>
              </w:rPr>
            </w:pPr>
          </w:p>
        </w:tc>
        <w:tc>
          <w:tcPr>
            <w:tcW w:w="3031" w:type="dxa"/>
            <w:tcMar>
              <w:top w:w="10" w:type="dxa"/>
              <w:left w:w="10" w:type="dxa"/>
              <w:right w:w="10" w:type="dxa"/>
            </w:tcMar>
            <w:vAlign w:val="center"/>
          </w:tcPr>
          <w:p>
            <w:pPr>
              <w:widowControl/>
              <w:jc w:val="left"/>
              <w:textAlignment w:val="center"/>
              <w:rPr>
                <w:rFonts w:eastAsia="方正仿宋_GBK"/>
                <w:sz w:val="24"/>
                <w:szCs w:val="24"/>
              </w:rPr>
            </w:pPr>
            <w:r>
              <w:rPr>
                <w:rFonts w:eastAsia="方正仿宋_GBK"/>
                <w:sz w:val="24"/>
                <w:szCs w:val="24"/>
              </w:rPr>
              <w:t>工业废弃物综合利用。</w:t>
            </w:r>
          </w:p>
        </w:tc>
        <w:tc>
          <w:tcPr>
            <w:tcW w:w="5157" w:type="dxa"/>
            <w:tcMar>
              <w:top w:w="10" w:type="dxa"/>
              <w:left w:w="10" w:type="dxa"/>
              <w:right w:w="10" w:type="dxa"/>
            </w:tcMar>
            <w:vAlign w:val="center"/>
          </w:tcPr>
          <w:p>
            <w:pPr>
              <w:widowControl/>
              <w:jc w:val="left"/>
              <w:textAlignment w:val="center"/>
              <w:rPr>
                <w:rFonts w:eastAsia="方正仿宋_GBK"/>
                <w:sz w:val="24"/>
                <w:szCs w:val="24"/>
              </w:rPr>
            </w:pPr>
            <w:r>
              <w:rPr>
                <w:rFonts w:eastAsia="方正仿宋_GBK"/>
                <w:sz w:val="24"/>
                <w:szCs w:val="24"/>
                <w:u w:val="single"/>
              </w:rPr>
              <w:t>重庆金婷环保</w:t>
            </w:r>
            <w:r>
              <w:rPr>
                <w:rFonts w:eastAsia="方正仿宋_GBK"/>
                <w:sz w:val="24"/>
                <w:szCs w:val="24"/>
              </w:rPr>
              <w:t>、</w:t>
            </w:r>
            <w:r>
              <w:rPr>
                <w:rFonts w:eastAsia="方正仿宋_GBK"/>
                <w:sz w:val="24"/>
                <w:szCs w:val="24"/>
                <w:u w:val="single"/>
              </w:rPr>
              <w:t>重庆大足区盛邦环保</w:t>
            </w:r>
            <w:r>
              <w:rPr>
                <w:rFonts w:eastAsia="方正仿宋_GBK"/>
                <w:sz w:val="24"/>
                <w:szCs w:val="24"/>
              </w:rPr>
              <w:t>、</w:t>
            </w:r>
            <w:r>
              <w:rPr>
                <w:rFonts w:eastAsia="方正仿宋_GBK"/>
                <w:sz w:val="24"/>
                <w:szCs w:val="24"/>
                <w:u w:val="single"/>
              </w:rPr>
              <w:t>垚鑫环保</w:t>
            </w:r>
            <w:r>
              <w:rPr>
                <w:rFonts w:eastAsia="方正仿宋_GBK"/>
                <w:sz w:val="24"/>
                <w:szCs w:val="24"/>
              </w:rPr>
              <w:t>、</w:t>
            </w:r>
            <w:r>
              <w:rPr>
                <w:rFonts w:eastAsia="方正仿宋_GBK"/>
                <w:sz w:val="24"/>
                <w:szCs w:val="24"/>
                <w:u w:val="single"/>
              </w:rPr>
              <w:t>重庆华新利特环保产业</w:t>
            </w:r>
            <w:r>
              <w:rPr>
                <w:rFonts w:eastAsia="方正仿宋_GBK"/>
                <w:sz w:val="24"/>
                <w:szCs w:val="24"/>
              </w:rPr>
              <w:t>、</w:t>
            </w:r>
            <w:r>
              <w:rPr>
                <w:rFonts w:eastAsia="方正仿宋_GBK"/>
                <w:sz w:val="24"/>
                <w:szCs w:val="24"/>
                <w:u w:val="single"/>
              </w:rPr>
              <w:t>重庆正旭环保科技</w:t>
            </w:r>
            <w:r>
              <w:rPr>
                <w:rFonts w:eastAsia="方正仿宋_GBK"/>
                <w:sz w:val="24"/>
                <w:szCs w:val="24"/>
              </w:rPr>
              <w:t>、</w:t>
            </w:r>
            <w:r>
              <w:rPr>
                <w:rFonts w:eastAsia="方正仿宋_GBK"/>
                <w:sz w:val="24"/>
                <w:szCs w:val="24"/>
                <w:u w:val="single"/>
              </w:rPr>
              <w:t>重庆环保投资集团</w:t>
            </w:r>
            <w:r>
              <w:rPr>
                <w:rFonts w:eastAsia="方正仿宋_GBK"/>
                <w:sz w:val="24"/>
                <w:szCs w:val="24"/>
              </w:rPr>
              <w:t>、</w:t>
            </w:r>
            <w:r>
              <w:rPr>
                <w:rFonts w:eastAsia="方正仿宋_GBK"/>
                <w:sz w:val="24"/>
                <w:szCs w:val="24"/>
                <w:u w:val="single"/>
              </w:rPr>
              <w:t>重庆市恩德再生资源综合利用</w:t>
            </w:r>
            <w:r>
              <w:rPr>
                <w:rFonts w:eastAsia="方正仿宋_GBK"/>
                <w:sz w:val="24"/>
                <w:szCs w:val="24"/>
              </w:rPr>
              <w:t>、</w:t>
            </w:r>
            <w:r>
              <w:rPr>
                <w:rFonts w:eastAsia="方正仿宋_GBK"/>
                <w:sz w:val="24"/>
                <w:szCs w:val="24"/>
                <w:u w:val="single"/>
              </w:rPr>
              <w:t>重庆正旭环保科技</w:t>
            </w:r>
            <w:r>
              <w:rPr>
                <w:rFonts w:eastAsia="方正仿宋_GBK"/>
                <w:sz w:val="24"/>
                <w:szCs w:val="24"/>
              </w:rPr>
              <w:t>、</w:t>
            </w:r>
            <w:r>
              <w:rPr>
                <w:rFonts w:eastAsia="方正仿宋_GBK"/>
                <w:sz w:val="24"/>
                <w:szCs w:val="24"/>
                <w:u w:val="single"/>
              </w:rPr>
              <w:t>懿宇再生资源</w:t>
            </w:r>
            <w:r>
              <w:rPr>
                <w:rFonts w:eastAsia="方正仿宋_GBK"/>
                <w:sz w:val="24"/>
                <w:szCs w:val="24"/>
              </w:rPr>
              <w:t>、格林美股份、四川格润中天环保科技、河北金谷、吉林蓝天固废处理中心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3" w:hRule="atLeast"/>
          <w:jc w:val="center"/>
        </w:trPr>
        <w:tc>
          <w:tcPr>
            <w:tcW w:w="1370" w:type="dxa"/>
            <w:tcMar>
              <w:top w:w="10" w:type="dxa"/>
              <w:left w:w="10" w:type="dxa"/>
              <w:right w:w="10" w:type="dxa"/>
            </w:tcMar>
            <w:vAlign w:val="center"/>
          </w:tcPr>
          <w:p>
            <w:pPr>
              <w:widowControl/>
              <w:jc w:val="center"/>
              <w:textAlignment w:val="center"/>
              <w:rPr>
                <w:rFonts w:eastAsia="方正仿宋_GBK"/>
                <w:b/>
                <w:sz w:val="24"/>
                <w:szCs w:val="24"/>
              </w:rPr>
            </w:pPr>
            <w:r>
              <w:rPr>
                <w:rFonts w:eastAsia="方正仿宋_GBK"/>
                <w:b/>
                <w:sz w:val="24"/>
                <w:szCs w:val="24"/>
              </w:rPr>
              <w:t>管道</w:t>
            </w:r>
          </w:p>
        </w:tc>
        <w:tc>
          <w:tcPr>
            <w:tcW w:w="3031" w:type="dxa"/>
            <w:tcMar>
              <w:top w:w="10" w:type="dxa"/>
              <w:left w:w="10" w:type="dxa"/>
              <w:right w:w="10" w:type="dxa"/>
            </w:tcMar>
            <w:vAlign w:val="center"/>
          </w:tcPr>
          <w:p>
            <w:pPr>
              <w:widowControl/>
              <w:jc w:val="left"/>
              <w:textAlignment w:val="center"/>
              <w:rPr>
                <w:rFonts w:eastAsia="方正仿宋_GBK"/>
                <w:sz w:val="24"/>
                <w:szCs w:val="24"/>
              </w:rPr>
            </w:pPr>
            <w:r>
              <w:rPr>
                <w:rFonts w:eastAsia="方正仿宋_GBK"/>
                <w:sz w:val="24"/>
                <w:szCs w:val="24"/>
              </w:rPr>
              <w:t>排水管道、给水管道、电力管道、燃气管道、消防管道、连接件</w:t>
            </w:r>
          </w:p>
        </w:tc>
        <w:tc>
          <w:tcPr>
            <w:tcW w:w="5157" w:type="dxa"/>
            <w:tcMar>
              <w:top w:w="10" w:type="dxa"/>
              <w:left w:w="10" w:type="dxa"/>
              <w:right w:w="10" w:type="dxa"/>
            </w:tcMar>
            <w:vAlign w:val="center"/>
          </w:tcPr>
          <w:p>
            <w:pPr>
              <w:widowControl/>
              <w:jc w:val="left"/>
              <w:textAlignment w:val="center"/>
              <w:rPr>
                <w:rFonts w:eastAsia="方正仿宋_GBK"/>
                <w:sz w:val="24"/>
                <w:szCs w:val="24"/>
              </w:rPr>
            </w:pPr>
            <w:r>
              <w:rPr>
                <w:rFonts w:eastAsia="方正仿宋_GBK"/>
                <w:sz w:val="24"/>
                <w:szCs w:val="24"/>
                <w:u w:val="single"/>
              </w:rPr>
              <w:t>金山洋管道</w:t>
            </w:r>
            <w:r>
              <w:rPr>
                <w:rFonts w:eastAsia="方正仿宋_GBK"/>
                <w:sz w:val="24"/>
                <w:szCs w:val="24"/>
              </w:rPr>
              <w:t>、</w:t>
            </w:r>
            <w:r>
              <w:rPr>
                <w:rFonts w:eastAsia="方正仿宋_GBK"/>
                <w:sz w:val="24"/>
                <w:szCs w:val="24"/>
                <w:u w:val="single"/>
              </w:rPr>
              <w:t>金若管道</w:t>
            </w:r>
            <w:r>
              <w:rPr>
                <w:rFonts w:eastAsia="方正仿宋_GBK"/>
                <w:sz w:val="24"/>
                <w:szCs w:val="24"/>
              </w:rPr>
              <w:t>、</w:t>
            </w:r>
            <w:r>
              <w:rPr>
                <w:rFonts w:eastAsia="方正仿宋_GBK"/>
                <w:sz w:val="24"/>
                <w:szCs w:val="24"/>
                <w:u w:val="single"/>
              </w:rPr>
              <w:t>德水源管道</w:t>
            </w:r>
            <w:r>
              <w:rPr>
                <w:rFonts w:eastAsia="方正仿宋_GBK"/>
                <w:sz w:val="24"/>
                <w:szCs w:val="24"/>
              </w:rPr>
              <w:t>、</w:t>
            </w:r>
            <w:r>
              <w:rPr>
                <w:rFonts w:eastAsia="方正仿宋_GBK"/>
                <w:sz w:val="24"/>
                <w:szCs w:val="24"/>
                <w:u w:val="single"/>
              </w:rPr>
              <w:t>永通管道</w:t>
            </w:r>
            <w:r>
              <w:rPr>
                <w:rFonts w:eastAsia="方正仿宋_GBK"/>
                <w:sz w:val="24"/>
                <w:szCs w:val="24"/>
              </w:rPr>
              <w:t>、西</w:t>
            </w:r>
            <w:r>
              <w:rPr>
                <w:rFonts w:eastAsia="方正仿宋_GBK"/>
                <w:sz w:val="24"/>
                <w:szCs w:val="24"/>
                <w:u w:val="single"/>
              </w:rPr>
              <w:t>洲管业</w:t>
            </w:r>
            <w:r>
              <w:rPr>
                <w:rFonts w:eastAsia="方正仿宋_GBK"/>
                <w:sz w:val="24"/>
                <w:szCs w:val="24"/>
              </w:rPr>
              <w:t>、</w:t>
            </w:r>
            <w:r>
              <w:rPr>
                <w:rFonts w:eastAsia="方正仿宋_GBK"/>
                <w:sz w:val="24"/>
                <w:szCs w:val="24"/>
                <w:u w:val="single"/>
              </w:rPr>
              <w:t>泓通管道</w:t>
            </w:r>
            <w:r>
              <w:rPr>
                <w:rFonts w:eastAsia="方正仿宋_GBK"/>
                <w:sz w:val="24"/>
                <w:szCs w:val="24"/>
              </w:rPr>
              <w:t>、</w:t>
            </w:r>
            <w:r>
              <w:rPr>
                <w:rFonts w:eastAsia="方正仿宋_GBK"/>
                <w:sz w:val="24"/>
                <w:szCs w:val="24"/>
                <w:u w:val="single"/>
              </w:rPr>
              <w:t>永通管道</w:t>
            </w:r>
            <w:r>
              <w:rPr>
                <w:rFonts w:eastAsia="方正仿宋_GBK"/>
                <w:sz w:val="24"/>
                <w:szCs w:val="24"/>
              </w:rPr>
              <w:t>、</w:t>
            </w:r>
            <w:r>
              <w:rPr>
                <w:rFonts w:eastAsia="方正仿宋_GBK"/>
                <w:sz w:val="24"/>
                <w:szCs w:val="24"/>
                <w:u w:val="single"/>
              </w:rPr>
              <w:t>西洲管业</w:t>
            </w:r>
            <w:r>
              <w:rPr>
                <w:rFonts w:eastAsia="方正仿宋_GBK"/>
                <w:sz w:val="24"/>
                <w:szCs w:val="24"/>
              </w:rPr>
              <w:t>、</w:t>
            </w:r>
            <w:r>
              <w:rPr>
                <w:rFonts w:eastAsia="方正仿宋_GBK"/>
                <w:sz w:val="24"/>
                <w:szCs w:val="24"/>
                <w:u w:val="single"/>
              </w:rPr>
              <w:t>三英管道</w:t>
            </w:r>
            <w:r>
              <w:rPr>
                <w:rFonts w:eastAsia="方正仿宋_GBK"/>
                <w:sz w:val="24"/>
                <w:szCs w:val="24"/>
              </w:rPr>
              <w:t>、</w:t>
            </w:r>
            <w:r>
              <w:rPr>
                <w:rFonts w:eastAsia="方正仿宋_GBK"/>
                <w:sz w:val="24"/>
                <w:szCs w:val="24"/>
                <w:u w:val="single"/>
              </w:rPr>
              <w:t>巨港管业</w:t>
            </w:r>
            <w:r>
              <w:rPr>
                <w:rFonts w:eastAsia="方正仿宋_GBK"/>
                <w:sz w:val="24"/>
                <w:szCs w:val="24"/>
              </w:rPr>
              <w:t>、</w:t>
            </w:r>
            <w:r>
              <w:rPr>
                <w:rFonts w:eastAsia="方正仿宋_GBK"/>
                <w:sz w:val="24"/>
                <w:szCs w:val="24"/>
                <w:u w:val="single"/>
              </w:rPr>
              <w:t>龙岗管件</w:t>
            </w:r>
            <w:r>
              <w:rPr>
                <w:rFonts w:eastAsia="方正仿宋_GBK"/>
                <w:sz w:val="24"/>
                <w:szCs w:val="24"/>
              </w:rPr>
              <w:t>、</w:t>
            </w:r>
            <w:r>
              <w:rPr>
                <w:rFonts w:eastAsia="方正仿宋_GBK"/>
                <w:sz w:val="24"/>
                <w:szCs w:val="24"/>
                <w:u w:val="single"/>
              </w:rPr>
              <w:t>胜邦管道</w:t>
            </w:r>
            <w:r>
              <w:rPr>
                <w:rFonts w:eastAsia="方正仿宋_GBK"/>
                <w:sz w:val="24"/>
                <w:szCs w:val="24"/>
              </w:rPr>
              <w:t>、</w:t>
            </w:r>
            <w:r>
              <w:rPr>
                <w:rFonts w:eastAsia="方正仿宋_GBK"/>
                <w:sz w:val="24"/>
                <w:szCs w:val="24"/>
                <w:u w:val="single"/>
              </w:rPr>
              <w:t>埃菲尔管道、</w:t>
            </w:r>
            <w:r>
              <w:rPr>
                <w:rFonts w:eastAsia="方正仿宋_GBK"/>
                <w:sz w:val="24"/>
                <w:szCs w:val="24"/>
              </w:rPr>
              <w:t>江苏皮尔萨管业、广东联塑、顾地、新兴铸管、永高股份有限公司</w:t>
            </w:r>
          </w:p>
        </w:tc>
      </w:tr>
    </w:tbl>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5．锶盐产业集群</w:t>
      </w:r>
    </w:p>
    <w:p>
      <w:pPr>
        <w:spacing w:line="594" w:lineRule="exact"/>
        <w:ind w:firstLine="640" w:firstLineChars="200"/>
        <w:rPr>
          <w:rFonts w:eastAsia="方正仿宋_GBK"/>
          <w:sz w:val="32"/>
          <w:szCs w:val="32"/>
        </w:rPr>
      </w:pPr>
      <w:r>
        <w:rPr>
          <w:rFonts w:eastAsia="方正仿宋_GBK"/>
          <w:sz w:val="32"/>
          <w:szCs w:val="32"/>
        </w:rPr>
        <w:t>依托大足区丰富的锶矿资源优势，加速推动锶环保、锶光电、锶新能源、锶装备制造、锶渣固废资源化利用、锶养健康产业发展，重点培育引进一批锶盐精深加工及新材料、锶关联应用企业，不断延伸锶盐产业链条，形成研发、生产、销售一体化全产业集群，加快推动锶盐新材料产业园落地建设，全力打造中国优质锶原料供应中心和世界锶盐新材料生产基地，掌握锶资源方面的国际定价权和全球锶盐产业的主导权，力争建强“世界锶都”。到2025年，锶产业工业总产值达到80亿元。</w:t>
      </w:r>
    </w:p>
    <w:p>
      <w:pPr>
        <w:autoSpaceDE w:val="0"/>
        <w:spacing w:line="558" w:lineRule="exact"/>
        <w:ind w:firstLine="643" w:firstLineChars="200"/>
        <w:rPr>
          <w:rFonts w:eastAsia="方正仿宋_GBK"/>
          <w:sz w:val="32"/>
          <w:szCs w:val="32"/>
          <w:lang w:bidi="ar"/>
        </w:rPr>
      </w:pPr>
      <w:r>
        <w:rPr>
          <w:rFonts w:eastAsia="方正仿宋_GBK"/>
          <w:b/>
          <w:bCs/>
          <w:sz w:val="32"/>
          <w:szCs w:val="32"/>
          <w:lang w:bidi="ar"/>
        </w:rPr>
        <w:t>锶平台型产品。</w:t>
      </w:r>
      <w:r>
        <w:rPr>
          <w:rFonts w:eastAsia="方正仿宋_GBK"/>
          <w:sz w:val="32"/>
          <w:szCs w:val="32"/>
          <w:lang w:bidi="ar"/>
        </w:rPr>
        <w:t>以碳酸锶、氢氧化锶、精细锶盐为重点，发挥产品用途广、用量最大、工艺技术成熟等优势，依托</w:t>
      </w:r>
      <w:r>
        <w:rPr>
          <w:rFonts w:eastAsia="方正仿宋_GBK"/>
          <w:sz w:val="32"/>
          <w:szCs w:val="32"/>
        </w:rPr>
        <w:t>中科院技术支持，</w:t>
      </w:r>
      <w:r>
        <w:rPr>
          <w:rFonts w:eastAsia="方正仿宋_GBK"/>
          <w:sz w:val="32"/>
          <w:szCs w:val="32"/>
          <w:lang w:bidi="ar"/>
        </w:rPr>
        <w:t>引导企业搬迁入园，实施技术升级，</w:t>
      </w:r>
      <w:r>
        <w:rPr>
          <w:rFonts w:eastAsia="方正仿宋_GBK"/>
          <w:sz w:val="32"/>
          <w:szCs w:val="32"/>
        </w:rPr>
        <w:t>发展生产新工艺，</w:t>
      </w:r>
      <w:r>
        <w:rPr>
          <w:rFonts w:eastAsia="方正仿宋_GBK"/>
          <w:sz w:val="32"/>
          <w:szCs w:val="32"/>
          <w:lang w:bidi="ar"/>
        </w:rPr>
        <w:t>提高产品附加值，进一步扩大市场占有率。重点支持红星发展、丰豪新材料、庆龙精细化工、元和化工等企业发展应用精细锶盐为关联应用企业提供优质功能材料。</w:t>
      </w:r>
    </w:p>
    <w:p>
      <w:pPr>
        <w:autoSpaceDE w:val="0"/>
        <w:spacing w:line="558" w:lineRule="exact"/>
        <w:ind w:firstLine="643" w:firstLineChars="200"/>
        <w:rPr>
          <w:rFonts w:eastAsia="方正仿宋_GBK"/>
          <w:sz w:val="32"/>
          <w:szCs w:val="32"/>
          <w:lang w:bidi="ar"/>
        </w:rPr>
      </w:pPr>
      <w:r>
        <w:rPr>
          <w:rFonts w:eastAsia="方正仿宋_GBK"/>
          <w:b/>
          <w:bCs/>
          <w:sz w:val="32"/>
          <w:szCs w:val="32"/>
          <w:lang w:bidi="ar"/>
        </w:rPr>
        <w:t>锶环保。</w:t>
      </w:r>
      <w:r>
        <w:rPr>
          <w:rFonts w:eastAsia="方正仿宋_GBK"/>
          <w:sz w:val="32"/>
          <w:szCs w:val="32"/>
          <w:lang w:bidi="ar"/>
        </w:rPr>
        <w:t>瞄准国内外产业发展趋势和市场需求，依托元和、众鑫汽车、江淮动力车等企业建设汽车尾气处理固态氨，钛酸锶光催化薄膜、锶铁氧体基磁性光催化剂材料、锶基纳米保温隔热材料等锶材料环保产业。</w:t>
      </w:r>
    </w:p>
    <w:p>
      <w:pPr>
        <w:autoSpaceDE w:val="0"/>
        <w:spacing w:line="558" w:lineRule="exact"/>
        <w:ind w:firstLine="643" w:firstLineChars="200"/>
        <w:rPr>
          <w:rFonts w:eastAsia="方正仿宋_GBK"/>
          <w:sz w:val="32"/>
          <w:szCs w:val="32"/>
        </w:rPr>
      </w:pPr>
      <w:r>
        <w:rPr>
          <w:rFonts w:eastAsia="方正仿宋_GBK"/>
          <w:b/>
          <w:bCs/>
          <w:sz w:val="32"/>
          <w:szCs w:val="32"/>
        </w:rPr>
        <w:t>锶光电。</w:t>
      </w:r>
      <w:r>
        <w:rPr>
          <w:rFonts w:eastAsia="方正仿宋_GBK"/>
          <w:sz w:val="32"/>
          <w:szCs w:val="32"/>
        </w:rPr>
        <w:t>结合国内外锶光电材料产业市场形势，重点发展电子级钛酸锶、钛酸锶钡电子陶瓷、电子级硝酸锶、钛酸锶钡铁电微晶玻璃等高附加值锶光电材料产业，打造技术水平较高、产品品种较为齐全的锶光电材料产业。</w:t>
      </w:r>
    </w:p>
    <w:p>
      <w:pPr>
        <w:autoSpaceDE w:val="0"/>
        <w:spacing w:line="558" w:lineRule="exact"/>
        <w:ind w:firstLine="643" w:firstLineChars="200"/>
        <w:rPr>
          <w:rFonts w:eastAsia="方正仿宋_GBK"/>
          <w:sz w:val="32"/>
          <w:szCs w:val="32"/>
        </w:rPr>
      </w:pPr>
      <w:r>
        <w:rPr>
          <w:rFonts w:eastAsia="方正仿宋_GBK"/>
          <w:b/>
          <w:bCs/>
          <w:sz w:val="32"/>
          <w:szCs w:val="32"/>
        </w:rPr>
        <w:t>锶新能源。</w:t>
      </w:r>
      <w:r>
        <w:rPr>
          <w:rFonts w:eastAsia="方正仿宋_GBK"/>
          <w:sz w:val="32"/>
          <w:szCs w:val="32"/>
        </w:rPr>
        <w:t>引进、培育锶功能材料企业，重点发展钛酸锶钡基储能陶瓷项目、锶基复合氧化物超级电容器电极材料、锶基复合氧化物储能材料等项目。依托庆龙、元和公司建设锂电池正极材料专用氧化锶项目（固态氧化物燃料电池材料），以点带面逐步推进锶新能源材料产业集群发展。</w:t>
      </w:r>
    </w:p>
    <w:p>
      <w:pPr>
        <w:autoSpaceDE w:val="0"/>
        <w:spacing w:line="558" w:lineRule="exact"/>
        <w:ind w:firstLine="643" w:firstLineChars="200"/>
        <w:rPr>
          <w:rFonts w:eastAsia="方正仿宋_GBK"/>
          <w:sz w:val="32"/>
          <w:szCs w:val="32"/>
        </w:rPr>
      </w:pPr>
      <w:r>
        <w:rPr>
          <w:rFonts w:eastAsia="方正仿宋_GBK"/>
          <w:b/>
          <w:bCs/>
          <w:sz w:val="32"/>
          <w:szCs w:val="32"/>
        </w:rPr>
        <w:t>锶装备制造。</w:t>
      </w:r>
      <w:r>
        <w:rPr>
          <w:rFonts w:eastAsia="方正仿宋_GBK"/>
          <w:sz w:val="32"/>
          <w:szCs w:val="32"/>
          <w:lang w:val="zh-CN"/>
        </w:rPr>
        <w:t>依托平台产品氢氧化锶生产线及已形成的产业基础，</w:t>
      </w:r>
      <w:r>
        <w:rPr>
          <w:rFonts w:eastAsia="方正仿宋_GBK"/>
          <w:sz w:val="32"/>
          <w:szCs w:val="32"/>
        </w:rPr>
        <w:t>结合国内外锶产业装备制造市场形势，重点引进南京云海金属等企业发展锶合金材料、锶合金部件、锶合金专用设备制造等产业，提高锶装备制造业科技水平和核心竞争力。</w:t>
      </w:r>
    </w:p>
    <w:p>
      <w:pPr>
        <w:autoSpaceDE w:val="0"/>
        <w:spacing w:line="558" w:lineRule="exact"/>
        <w:ind w:firstLine="643" w:firstLineChars="200"/>
        <w:rPr>
          <w:rFonts w:eastAsia="方正仿宋_GBK"/>
          <w:sz w:val="32"/>
          <w:szCs w:val="32"/>
        </w:rPr>
      </w:pPr>
      <w:r>
        <w:rPr>
          <w:rFonts w:eastAsia="方正仿宋_GBK"/>
          <w:b/>
          <w:bCs/>
          <w:sz w:val="32"/>
          <w:szCs w:val="32"/>
        </w:rPr>
        <w:t>锶渣固废资源化利用。</w:t>
      </w:r>
      <w:r>
        <w:rPr>
          <w:rFonts w:eastAsia="方正仿宋_GBK"/>
          <w:sz w:val="32"/>
          <w:szCs w:val="32"/>
        </w:rPr>
        <w:t>以技术创新作为产业转型升级的驱动力，充分认识“环保是竞争力”，以锶渣资源综合利用高技术化为中心，形成锶渣回收、二次渣开发生态胶凝材料、二次渣改性开发水处理吸附剂等锶渣固废资源化利用产业。</w:t>
      </w:r>
    </w:p>
    <w:p>
      <w:pPr>
        <w:autoSpaceDE w:val="0"/>
        <w:spacing w:line="594" w:lineRule="exact"/>
        <w:ind w:firstLine="643" w:firstLineChars="200"/>
        <w:rPr>
          <w:rFonts w:eastAsia="方正仿宋_GBK"/>
          <w:sz w:val="32"/>
          <w:szCs w:val="32"/>
        </w:rPr>
      </w:pPr>
      <w:r>
        <w:rPr>
          <w:rFonts w:eastAsia="方正仿宋_GBK"/>
          <w:b/>
          <w:bCs/>
          <w:sz w:val="32"/>
          <w:szCs w:val="32"/>
        </w:rPr>
        <w:t>锶养健康。</w:t>
      </w:r>
      <w:r>
        <w:rPr>
          <w:rFonts w:eastAsia="方正仿宋_GBK"/>
          <w:sz w:val="32"/>
          <w:szCs w:val="32"/>
        </w:rPr>
        <w:t>以平台型锶产品及下游锶精细化学品为原料，重点引进重庆登康等企业，拓展锶在食品、饮料、医药、日化等产业领域的应用，发展牙膏级六水氯化锶、含锶抗敏牙膏、人工碱性锶离子营养水、含锶护肤品、富锶矿化水等，建成多样性富锶农副产品加工中心。聚焦大足区农副产品加工，积极引进具有较强康养食品开发、营销能力的重点企业，加速开发富锶类农副食品产业。</w:t>
      </w:r>
    </w:p>
    <w:p>
      <w:pPr>
        <w:pStyle w:val="7"/>
        <w:spacing w:after="120" w:afterLines="50" w:line="594" w:lineRule="exact"/>
        <w:ind w:left="0" w:firstLine="562" w:firstLineChars="200"/>
        <w:jc w:val="center"/>
        <w:rPr>
          <w:rFonts w:eastAsia="方正仿宋_GBK"/>
          <w:b/>
          <w:bCs/>
          <w:sz w:val="28"/>
          <w:szCs w:val="28"/>
        </w:rPr>
      </w:pPr>
      <w:r>
        <w:rPr>
          <w:rFonts w:eastAsia="方正仿宋_GBK"/>
          <w:b/>
          <w:bCs/>
          <w:sz w:val="28"/>
          <w:szCs w:val="28"/>
        </w:rPr>
        <w:t>专栏5  锶盐产业发展方向、重点产品及企业</w:t>
      </w:r>
    </w:p>
    <w:tbl>
      <w:tblPr>
        <w:tblStyle w:val="9"/>
        <w:tblW w:w="9029" w:type="dxa"/>
        <w:jc w:val="center"/>
        <w:tblLayout w:type="fixed"/>
        <w:tblCellMar>
          <w:top w:w="0" w:type="dxa"/>
          <w:left w:w="0" w:type="dxa"/>
          <w:bottom w:w="0" w:type="dxa"/>
          <w:right w:w="0" w:type="dxa"/>
        </w:tblCellMar>
      </w:tblPr>
      <w:tblGrid>
        <w:gridCol w:w="1293"/>
        <w:gridCol w:w="3924"/>
        <w:gridCol w:w="3812"/>
      </w:tblGrid>
      <w:tr>
        <w:tblPrEx>
          <w:tblCellMar>
            <w:top w:w="0" w:type="dxa"/>
            <w:left w:w="0" w:type="dxa"/>
            <w:bottom w:w="0" w:type="dxa"/>
            <w:right w:w="0" w:type="dxa"/>
          </w:tblCellMar>
        </w:tblPrEx>
        <w:trPr>
          <w:trHeight w:val="352" w:hRule="atLeast"/>
          <w:tblHeader/>
          <w:jc w:val="center"/>
        </w:trPr>
        <w:tc>
          <w:tcPr>
            <w:tcW w:w="1293"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top"/>
          </w:tcPr>
          <w:p>
            <w:pPr>
              <w:jc w:val="center"/>
              <w:textAlignment w:val="top"/>
              <w:rPr>
                <w:rFonts w:eastAsia="方正仿宋_GBK"/>
                <w:b/>
                <w:sz w:val="24"/>
                <w:szCs w:val="24"/>
              </w:rPr>
            </w:pPr>
            <w:r>
              <w:rPr>
                <w:rFonts w:eastAsia="方正仿宋_GBK"/>
                <w:b/>
                <w:kern w:val="0"/>
                <w:sz w:val="24"/>
                <w:szCs w:val="24"/>
                <w:lang w:bidi="ar"/>
              </w:rPr>
              <w:t>项目名称</w:t>
            </w:r>
          </w:p>
        </w:tc>
        <w:tc>
          <w:tcPr>
            <w:tcW w:w="392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top"/>
          </w:tcPr>
          <w:p>
            <w:pPr>
              <w:jc w:val="center"/>
              <w:textAlignment w:val="top"/>
              <w:rPr>
                <w:rFonts w:eastAsia="方正仿宋_GBK"/>
                <w:b/>
                <w:sz w:val="24"/>
                <w:szCs w:val="24"/>
              </w:rPr>
            </w:pPr>
            <w:r>
              <w:rPr>
                <w:rFonts w:eastAsia="方正仿宋_GBK"/>
                <w:b/>
                <w:kern w:val="0"/>
                <w:sz w:val="24"/>
                <w:szCs w:val="24"/>
                <w:lang w:bidi="ar"/>
              </w:rPr>
              <w:t>发展方向及重点产品</w:t>
            </w:r>
          </w:p>
        </w:tc>
        <w:tc>
          <w:tcPr>
            <w:tcW w:w="3812"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top"/>
          </w:tcPr>
          <w:p>
            <w:pPr>
              <w:jc w:val="center"/>
              <w:textAlignment w:val="top"/>
              <w:rPr>
                <w:rFonts w:eastAsia="方正仿宋_GBK"/>
                <w:b/>
                <w:kern w:val="0"/>
                <w:sz w:val="24"/>
                <w:szCs w:val="24"/>
                <w:lang w:bidi="ar"/>
              </w:rPr>
            </w:pPr>
            <w:r>
              <w:rPr>
                <w:rFonts w:eastAsia="方正仿宋_GBK"/>
                <w:b/>
                <w:kern w:val="0"/>
                <w:sz w:val="24"/>
                <w:szCs w:val="24"/>
                <w:lang w:bidi="ar"/>
              </w:rPr>
              <w:t>企业</w:t>
            </w:r>
          </w:p>
        </w:tc>
      </w:tr>
      <w:tr>
        <w:tblPrEx>
          <w:tblCellMar>
            <w:top w:w="0" w:type="dxa"/>
            <w:left w:w="0" w:type="dxa"/>
            <w:bottom w:w="0" w:type="dxa"/>
            <w:right w:w="0" w:type="dxa"/>
          </w:tblCellMar>
        </w:tblPrEx>
        <w:trPr>
          <w:trHeight w:val="1289" w:hRule="atLeast"/>
          <w:jc w:val="center"/>
        </w:trPr>
        <w:tc>
          <w:tcPr>
            <w:tcW w:w="1293"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textAlignment w:val="center"/>
              <w:rPr>
                <w:rFonts w:eastAsia="方正仿宋_GBK"/>
                <w:b/>
                <w:bCs/>
                <w:sz w:val="24"/>
                <w:szCs w:val="24"/>
              </w:rPr>
            </w:pPr>
            <w:r>
              <w:rPr>
                <w:rFonts w:eastAsia="方正仿宋_GBK"/>
                <w:b/>
                <w:bCs/>
                <w:sz w:val="24"/>
                <w:szCs w:val="24"/>
              </w:rPr>
              <w:t>锶平台型产品</w:t>
            </w:r>
          </w:p>
        </w:tc>
        <w:tc>
          <w:tcPr>
            <w:tcW w:w="392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textAlignment w:val="center"/>
              <w:rPr>
                <w:rFonts w:eastAsia="方正仿宋_GBK"/>
                <w:sz w:val="24"/>
                <w:szCs w:val="24"/>
              </w:rPr>
            </w:pPr>
            <w:r>
              <w:rPr>
                <w:rFonts w:eastAsia="方正仿宋_GBK"/>
                <w:kern w:val="0"/>
                <w:sz w:val="24"/>
                <w:szCs w:val="24"/>
                <w:lang w:bidi="ar"/>
              </w:rPr>
              <w:t>工业碳酸锶、电子级碳酸锶、硫磺、锶锰新材料、稀土锶盐新材料、氯化锶、硝酸锶、汽车尾气脱硝催化剂、铝电池、专用氧化锶、高纯氢氧化锶、高纯钛酸锶等。</w:t>
            </w:r>
          </w:p>
        </w:tc>
        <w:tc>
          <w:tcPr>
            <w:tcW w:w="3812"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textAlignment w:val="center"/>
              <w:rPr>
                <w:rFonts w:eastAsia="方正仿宋_GBK"/>
                <w:kern w:val="0"/>
                <w:sz w:val="24"/>
                <w:szCs w:val="24"/>
                <w:lang w:bidi="ar"/>
              </w:rPr>
            </w:pPr>
            <w:r>
              <w:rPr>
                <w:rFonts w:hint="eastAsia" w:ascii="方正仿宋_GBK" w:hAnsi="方正仿宋_GBK" w:eastAsia="方正仿宋_GBK" w:cs="方正仿宋_GBK"/>
                <w:sz w:val="24"/>
              </w:rPr>
              <w:t>南京金焰、丰豪精细化工、新申锶盐、</w:t>
            </w:r>
            <w:r>
              <w:rPr>
                <w:rFonts w:eastAsia="方正仿宋_GBK"/>
                <w:sz w:val="24"/>
                <w:szCs w:val="24"/>
              </w:rPr>
              <w:t>日本村田、太阳诱电、三星电机、京瓷、TDK、潮州三环、风华高科、火炬电子、宇阳科技、台湾华新、</w:t>
            </w:r>
            <w:r>
              <w:rPr>
                <w:rFonts w:eastAsia="方正仿宋_GBK"/>
                <w:kern w:val="0"/>
                <w:sz w:val="24"/>
                <w:szCs w:val="24"/>
                <w:u w:val="single"/>
                <w:lang w:bidi="ar"/>
              </w:rPr>
              <w:t>红蝶锶业、元和、红星、丰豪新材料</w:t>
            </w:r>
            <w:r>
              <w:rPr>
                <w:rFonts w:eastAsia="方正仿宋_GBK"/>
                <w:kern w:val="0"/>
                <w:sz w:val="24"/>
                <w:szCs w:val="24"/>
                <w:lang w:bidi="ar"/>
              </w:rPr>
              <w:t>、</w:t>
            </w:r>
            <w:r>
              <w:rPr>
                <w:rFonts w:eastAsia="方正仿宋_GBK"/>
                <w:kern w:val="0"/>
                <w:sz w:val="24"/>
                <w:szCs w:val="24"/>
                <w:u w:val="single"/>
                <w:lang w:bidi="ar"/>
              </w:rPr>
              <w:t>庆龙精细化工、</w:t>
            </w:r>
            <w:r>
              <w:rPr>
                <w:rFonts w:eastAsia="方正仿宋_GBK"/>
                <w:sz w:val="24"/>
                <w:szCs w:val="24"/>
                <w:u w:val="single"/>
              </w:rPr>
              <w:t>重庆瑞得思达锶盐新材料、重庆科瑞得稀土高新材料</w:t>
            </w:r>
          </w:p>
        </w:tc>
      </w:tr>
      <w:tr>
        <w:tblPrEx>
          <w:tblCellMar>
            <w:top w:w="0" w:type="dxa"/>
            <w:left w:w="0" w:type="dxa"/>
            <w:bottom w:w="0" w:type="dxa"/>
            <w:right w:w="0" w:type="dxa"/>
          </w:tblCellMar>
        </w:tblPrEx>
        <w:trPr>
          <w:trHeight w:val="1352" w:hRule="atLeast"/>
          <w:jc w:val="center"/>
        </w:trPr>
        <w:tc>
          <w:tcPr>
            <w:tcW w:w="1293"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textAlignment w:val="center"/>
              <w:rPr>
                <w:rFonts w:eastAsia="方正仿宋_GBK"/>
                <w:b/>
                <w:bCs/>
                <w:sz w:val="24"/>
                <w:szCs w:val="24"/>
              </w:rPr>
            </w:pPr>
            <w:r>
              <w:rPr>
                <w:rFonts w:eastAsia="方正仿宋_GBK"/>
                <w:b/>
                <w:bCs/>
                <w:sz w:val="24"/>
                <w:szCs w:val="24"/>
              </w:rPr>
              <w:t>锶环保</w:t>
            </w:r>
          </w:p>
        </w:tc>
        <w:tc>
          <w:tcPr>
            <w:tcW w:w="392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textAlignment w:val="center"/>
              <w:rPr>
                <w:rFonts w:eastAsia="方正仿宋_GBK"/>
                <w:kern w:val="0"/>
                <w:sz w:val="24"/>
                <w:szCs w:val="24"/>
                <w:lang w:bidi="ar"/>
              </w:rPr>
            </w:pPr>
            <w:r>
              <w:rPr>
                <w:rFonts w:eastAsia="方正仿宋_GBK"/>
                <w:kern w:val="0"/>
                <w:sz w:val="24"/>
                <w:szCs w:val="24"/>
                <w:lang w:bidi="ar"/>
              </w:rPr>
              <w:t>钛酸锶光催化薄膜、钛酸锶光触媒、钛酸锶钡吸附材料、汽车尾气处理（固态铵）、吸附式制冷系统氯化锶复合吸附材料、复合膜成型装备制造、锶铁氧体基磁性光催化剂材料、纳米太阳热反射双组分涂料、锶基纳米保温隔热材料。</w:t>
            </w:r>
          </w:p>
        </w:tc>
        <w:tc>
          <w:tcPr>
            <w:tcW w:w="3812"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textAlignment w:val="center"/>
              <w:rPr>
                <w:rFonts w:eastAsia="方正仿宋_GBK"/>
                <w:kern w:val="0"/>
                <w:sz w:val="24"/>
                <w:szCs w:val="24"/>
                <w:lang w:bidi="ar"/>
              </w:rPr>
            </w:pPr>
            <w:r>
              <w:rPr>
                <w:rFonts w:hint="eastAsia" w:eastAsia="方正仿宋_GBK"/>
                <w:kern w:val="0"/>
                <w:sz w:val="24"/>
                <w:szCs w:val="24"/>
                <w:lang w:bidi="ar"/>
              </w:rPr>
              <w:t>横店东磁、安特磁材、北矿磁材、西磁股份、安徽龙磁、马鞍山鑫洋、川威集团、丹斯克磁材、湖南金池、广州梅磁、</w:t>
            </w:r>
            <w:r>
              <w:rPr>
                <w:rFonts w:eastAsia="方正仿宋_GBK"/>
                <w:kern w:val="0"/>
                <w:sz w:val="24"/>
                <w:szCs w:val="24"/>
                <w:lang w:bidi="ar"/>
              </w:rPr>
              <w:t>众鑫汽车、江淮动力、</w:t>
            </w:r>
            <w:r>
              <w:rPr>
                <w:rFonts w:hint="eastAsia" w:eastAsia="方正仿宋_GBK"/>
                <w:kern w:val="0"/>
                <w:sz w:val="24"/>
                <w:szCs w:val="24"/>
                <w:lang w:bidi="ar"/>
              </w:rPr>
              <w:t>韩国巴斯夫、蓬莱新光颜料、杭州百合科莱恩、</w:t>
            </w:r>
            <w:r>
              <w:rPr>
                <w:rFonts w:eastAsia="方正仿宋_GBK"/>
                <w:kern w:val="0"/>
                <w:sz w:val="24"/>
                <w:szCs w:val="24"/>
                <w:u w:val="single"/>
                <w:lang w:bidi="ar"/>
              </w:rPr>
              <w:t>元和</w:t>
            </w:r>
            <w:r>
              <w:rPr>
                <w:rFonts w:eastAsia="方正仿宋_GBK"/>
                <w:kern w:val="0"/>
                <w:sz w:val="24"/>
                <w:szCs w:val="24"/>
                <w:lang w:bidi="ar"/>
              </w:rPr>
              <w:t>、</w:t>
            </w:r>
            <w:r>
              <w:rPr>
                <w:rFonts w:eastAsia="方正仿宋_GBK"/>
                <w:kern w:val="0"/>
                <w:sz w:val="24"/>
                <w:szCs w:val="24"/>
                <w:u w:val="single"/>
                <w:lang w:bidi="ar"/>
              </w:rPr>
              <w:t>众鑫汽车、江淮动力车</w:t>
            </w:r>
          </w:p>
        </w:tc>
      </w:tr>
      <w:tr>
        <w:tblPrEx>
          <w:tblCellMar>
            <w:top w:w="0" w:type="dxa"/>
            <w:left w:w="0" w:type="dxa"/>
            <w:bottom w:w="0" w:type="dxa"/>
            <w:right w:w="0" w:type="dxa"/>
          </w:tblCellMar>
        </w:tblPrEx>
        <w:trPr>
          <w:trHeight w:val="1352" w:hRule="atLeast"/>
          <w:jc w:val="center"/>
        </w:trPr>
        <w:tc>
          <w:tcPr>
            <w:tcW w:w="1293"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textAlignment w:val="center"/>
              <w:rPr>
                <w:rFonts w:eastAsia="方正仿宋_GBK"/>
                <w:b/>
                <w:bCs/>
                <w:sz w:val="24"/>
                <w:szCs w:val="24"/>
              </w:rPr>
            </w:pPr>
            <w:r>
              <w:rPr>
                <w:rFonts w:eastAsia="方正仿宋_GBK"/>
                <w:b/>
                <w:bCs/>
                <w:sz w:val="24"/>
                <w:szCs w:val="24"/>
              </w:rPr>
              <w:t>锶光电</w:t>
            </w:r>
          </w:p>
        </w:tc>
        <w:tc>
          <w:tcPr>
            <w:tcW w:w="392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textAlignment w:val="center"/>
              <w:rPr>
                <w:rFonts w:eastAsia="方正仿宋_GBK"/>
                <w:kern w:val="0"/>
                <w:sz w:val="24"/>
                <w:szCs w:val="24"/>
                <w:lang w:bidi="ar"/>
              </w:rPr>
            </w:pPr>
            <w:r>
              <w:rPr>
                <w:rFonts w:eastAsia="方正仿宋_GBK"/>
                <w:kern w:val="0"/>
                <w:sz w:val="24"/>
                <w:szCs w:val="24"/>
                <w:lang w:bidi="ar"/>
              </w:rPr>
              <w:t>电子级钛酸锶材料、铝酸锶铕镝蓄能长余辉发光材料、电子级碳酸锶材料、钛酸锶钡电子陶瓷材料、电子级硝酸锶材料、钛酸锶钡铁电微晶玻璃、氯硼酸锶发光材料、钼酸锶微晶荧光粉体、稀土掺杂铝酸锶夜光纤维。</w:t>
            </w:r>
          </w:p>
        </w:tc>
        <w:tc>
          <w:tcPr>
            <w:tcW w:w="3812"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textAlignment w:val="center"/>
              <w:rPr>
                <w:rFonts w:eastAsia="方正仿宋_GBK"/>
                <w:bCs/>
                <w:sz w:val="24"/>
                <w:szCs w:val="24"/>
              </w:rPr>
            </w:pPr>
            <w:r>
              <w:rPr>
                <w:rFonts w:hint="eastAsia" w:eastAsia="方正仿宋_GBK"/>
                <w:bCs/>
                <w:sz w:val="24"/>
                <w:szCs w:val="24"/>
              </w:rPr>
              <w:t>东旭集团、成都光电、彩虹股份、康宁科技、火炬电子、风华高科、上海锶光机电、氟锶光电、</w:t>
            </w:r>
            <w:r>
              <w:rPr>
                <w:rFonts w:eastAsia="方正仿宋_GBK"/>
                <w:bCs/>
                <w:sz w:val="24"/>
                <w:szCs w:val="24"/>
                <w:u w:val="single"/>
              </w:rPr>
              <w:t>庆龙</w:t>
            </w:r>
            <w:r>
              <w:rPr>
                <w:rFonts w:eastAsia="方正仿宋_GBK"/>
                <w:bCs/>
                <w:sz w:val="24"/>
                <w:szCs w:val="24"/>
              </w:rPr>
              <w:t>、</w:t>
            </w:r>
            <w:r>
              <w:rPr>
                <w:rFonts w:eastAsia="方正仿宋_GBK"/>
                <w:bCs/>
                <w:sz w:val="24"/>
                <w:szCs w:val="24"/>
                <w:u w:val="single"/>
              </w:rPr>
              <w:t>元和</w:t>
            </w:r>
          </w:p>
        </w:tc>
      </w:tr>
      <w:tr>
        <w:tblPrEx>
          <w:tblCellMar>
            <w:top w:w="0" w:type="dxa"/>
            <w:left w:w="0" w:type="dxa"/>
            <w:bottom w:w="0" w:type="dxa"/>
            <w:right w:w="0" w:type="dxa"/>
          </w:tblCellMar>
        </w:tblPrEx>
        <w:trPr>
          <w:trHeight w:val="1018" w:hRule="atLeast"/>
          <w:jc w:val="center"/>
        </w:trPr>
        <w:tc>
          <w:tcPr>
            <w:tcW w:w="1293"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textAlignment w:val="center"/>
              <w:rPr>
                <w:rFonts w:eastAsia="方正仿宋_GBK"/>
                <w:b/>
                <w:bCs/>
                <w:sz w:val="24"/>
                <w:szCs w:val="24"/>
              </w:rPr>
            </w:pPr>
            <w:r>
              <w:rPr>
                <w:rFonts w:eastAsia="方正仿宋_GBK"/>
                <w:b/>
                <w:bCs/>
                <w:sz w:val="24"/>
                <w:szCs w:val="24"/>
              </w:rPr>
              <w:t>锶能源</w:t>
            </w:r>
          </w:p>
        </w:tc>
        <w:tc>
          <w:tcPr>
            <w:tcW w:w="392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textAlignment w:val="center"/>
              <w:rPr>
                <w:rFonts w:eastAsia="方正仿宋_GBK"/>
                <w:kern w:val="0"/>
                <w:sz w:val="24"/>
                <w:szCs w:val="24"/>
                <w:lang w:bidi="ar"/>
              </w:rPr>
            </w:pPr>
            <w:r>
              <w:rPr>
                <w:rFonts w:eastAsia="方正仿宋_GBK"/>
                <w:kern w:val="0"/>
                <w:sz w:val="24"/>
                <w:szCs w:val="24"/>
                <w:lang w:bidi="ar"/>
              </w:rPr>
              <w:t>钛酸锶钡基储能陶瓷、锶掺杂锰酸镧基阴极支撑固体氧化物燃料电池片、电子传输层为铈酸锶的钙钛矿太阳能电池、锶基复合氧化物超级电容器电极材料、多孔储能材料。</w:t>
            </w:r>
          </w:p>
        </w:tc>
        <w:tc>
          <w:tcPr>
            <w:tcW w:w="3812"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textAlignment w:val="center"/>
              <w:rPr>
                <w:rFonts w:eastAsia="方正仿宋_GBK"/>
                <w:bCs/>
                <w:sz w:val="24"/>
                <w:szCs w:val="24"/>
              </w:rPr>
            </w:pPr>
            <w:r>
              <w:rPr>
                <w:rFonts w:eastAsia="方正仿宋_GBK"/>
                <w:bCs/>
                <w:sz w:val="24"/>
                <w:szCs w:val="24"/>
              </w:rPr>
              <w:t>容百科技、华友钴业、振华科技、宁波容佰、北京当升、厦门钨业、贝瑞特、格林美邦普循环、湖南杉杉、长远锂科</w:t>
            </w:r>
          </w:p>
        </w:tc>
      </w:tr>
      <w:tr>
        <w:tblPrEx>
          <w:tblCellMar>
            <w:top w:w="0" w:type="dxa"/>
            <w:left w:w="0" w:type="dxa"/>
            <w:bottom w:w="0" w:type="dxa"/>
            <w:right w:w="0" w:type="dxa"/>
          </w:tblCellMar>
        </w:tblPrEx>
        <w:trPr>
          <w:trHeight w:val="1352" w:hRule="atLeast"/>
          <w:jc w:val="center"/>
        </w:trPr>
        <w:tc>
          <w:tcPr>
            <w:tcW w:w="1293"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textAlignment w:val="center"/>
              <w:rPr>
                <w:rFonts w:eastAsia="方正仿宋_GBK"/>
                <w:b/>
                <w:bCs/>
                <w:sz w:val="24"/>
                <w:szCs w:val="24"/>
              </w:rPr>
            </w:pPr>
            <w:r>
              <w:rPr>
                <w:rFonts w:eastAsia="方正仿宋_GBK"/>
                <w:b/>
                <w:bCs/>
                <w:sz w:val="24"/>
                <w:szCs w:val="24"/>
              </w:rPr>
              <w:t>锶装备制造</w:t>
            </w:r>
          </w:p>
        </w:tc>
        <w:tc>
          <w:tcPr>
            <w:tcW w:w="392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textAlignment w:val="center"/>
              <w:rPr>
                <w:rFonts w:eastAsia="方正仿宋_GBK"/>
                <w:kern w:val="0"/>
                <w:sz w:val="24"/>
                <w:szCs w:val="24"/>
                <w:lang w:bidi="ar"/>
              </w:rPr>
            </w:pPr>
            <w:r>
              <w:rPr>
                <w:rFonts w:eastAsia="方正仿宋_GBK"/>
                <w:bCs/>
                <w:sz w:val="24"/>
                <w:szCs w:val="24"/>
              </w:rPr>
              <w:t>高纯金属锶、锶中间合金、高强高韧铝锶合金新材料、高温镁锶合金、锶合金零部件精密制造、锶合金配套装备制造、锶合金粉末冶金及复合材料、含锶钛合金植入材料、耐蚀特种镁铝锶合金材料、含锶铅合金铜合金材料。</w:t>
            </w:r>
          </w:p>
        </w:tc>
        <w:tc>
          <w:tcPr>
            <w:tcW w:w="3812"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textAlignment w:val="center"/>
              <w:rPr>
                <w:rFonts w:eastAsia="方正仿宋_GBK"/>
                <w:bCs/>
                <w:sz w:val="24"/>
                <w:szCs w:val="24"/>
              </w:rPr>
            </w:pPr>
            <w:r>
              <w:rPr>
                <w:rFonts w:eastAsia="方正仿宋_GBK"/>
                <w:bCs/>
                <w:sz w:val="24"/>
                <w:szCs w:val="24"/>
              </w:rPr>
              <w:t>南京云海金属</w:t>
            </w:r>
            <w:r>
              <w:rPr>
                <w:rFonts w:hint="eastAsia" w:eastAsia="方正仿宋_GBK"/>
                <w:bCs/>
                <w:sz w:val="24"/>
                <w:szCs w:val="24"/>
              </w:rPr>
              <w:t>、上海郑裕特种合金、隆昌县锶业科技、金瑞矿业</w:t>
            </w:r>
          </w:p>
        </w:tc>
      </w:tr>
      <w:tr>
        <w:tblPrEx>
          <w:tblCellMar>
            <w:top w:w="0" w:type="dxa"/>
            <w:left w:w="0" w:type="dxa"/>
            <w:bottom w:w="0" w:type="dxa"/>
            <w:right w:w="0" w:type="dxa"/>
          </w:tblCellMar>
        </w:tblPrEx>
        <w:trPr>
          <w:trHeight w:val="352" w:hRule="atLeast"/>
          <w:jc w:val="center"/>
        </w:trPr>
        <w:tc>
          <w:tcPr>
            <w:tcW w:w="1293"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textAlignment w:val="center"/>
              <w:rPr>
                <w:rFonts w:eastAsia="方正仿宋_GBK"/>
                <w:b/>
                <w:bCs/>
                <w:sz w:val="24"/>
                <w:szCs w:val="24"/>
              </w:rPr>
            </w:pPr>
            <w:r>
              <w:rPr>
                <w:rFonts w:eastAsia="方正仿宋_GBK"/>
                <w:b/>
                <w:bCs/>
                <w:sz w:val="24"/>
                <w:szCs w:val="24"/>
              </w:rPr>
              <w:t>锶渣固废资源化利用</w:t>
            </w:r>
          </w:p>
        </w:tc>
        <w:tc>
          <w:tcPr>
            <w:tcW w:w="392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textAlignment w:val="center"/>
              <w:rPr>
                <w:rFonts w:eastAsia="方正仿宋_GBK"/>
                <w:bCs/>
                <w:sz w:val="24"/>
                <w:szCs w:val="24"/>
              </w:rPr>
            </w:pPr>
            <w:r>
              <w:rPr>
                <w:rFonts w:eastAsia="方正仿宋_GBK"/>
                <w:bCs/>
                <w:sz w:val="24"/>
                <w:szCs w:val="24"/>
              </w:rPr>
              <w:t>锶渣回收锶、二次渣开发生态胶凝、改性锶渣开发吸附剂.</w:t>
            </w:r>
          </w:p>
        </w:tc>
        <w:tc>
          <w:tcPr>
            <w:tcW w:w="3812"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textAlignment w:val="center"/>
              <w:rPr>
                <w:rFonts w:eastAsia="方正仿宋_GBK"/>
                <w:bCs/>
                <w:sz w:val="24"/>
                <w:szCs w:val="24"/>
              </w:rPr>
            </w:pPr>
            <w:r>
              <w:rPr>
                <w:rFonts w:eastAsia="方正仿宋_GBK"/>
                <w:bCs/>
                <w:sz w:val="24"/>
                <w:szCs w:val="24"/>
                <w:u w:val="single"/>
              </w:rPr>
              <w:t>元和</w:t>
            </w:r>
            <w:r>
              <w:rPr>
                <w:rFonts w:hint="eastAsia" w:eastAsia="方正仿宋_GBK"/>
                <w:bCs/>
                <w:sz w:val="24"/>
                <w:szCs w:val="24"/>
                <w:u w:val="single"/>
              </w:rPr>
              <w:t>、</w:t>
            </w:r>
            <w:r>
              <w:rPr>
                <w:rFonts w:hint="eastAsia" w:eastAsia="方正仿宋_GBK"/>
                <w:bCs/>
                <w:sz w:val="24"/>
                <w:szCs w:val="24"/>
              </w:rPr>
              <w:t>鑫联环保</w:t>
            </w:r>
          </w:p>
        </w:tc>
      </w:tr>
      <w:tr>
        <w:tblPrEx>
          <w:tblCellMar>
            <w:top w:w="0" w:type="dxa"/>
            <w:left w:w="0" w:type="dxa"/>
            <w:bottom w:w="0" w:type="dxa"/>
            <w:right w:w="0" w:type="dxa"/>
          </w:tblCellMar>
        </w:tblPrEx>
        <w:trPr>
          <w:trHeight w:val="539" w:hRule="atLeast"/>
          <w:jc w:val="center"/>
        </w:trPr>
        <w:tc>
          <w:tcPr>
            <w:tcW w:w="1293"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textAlignment w:val="center"/>
              <w:rPr>
                <w:rFonts w:eastAsia="方正仿宋_GBK"/>
                <w:b/>
                <w:bCs/>
                <w:sz w:val="24"/>
                <w:szCs w:val="24"/>
              </w:rPr>
            </w:pPr>
            <w:r>
              <w:rPr>
                <w:rFonts w:eastAsia="方正仿宋_GBK"/>
                <w:b/>
                <w:bCs/>
                <w:sz w:val="24"/>
                <w:szCs w:val="24"/>
              </w:rPr>
              <w:t>锶养健康</w:t>
            </w:r>
          </w:p>
        </w:tc>
        <w:tc>
          <w:tcPr>
            <w:tcW w:w="392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textAlignment w:val="center"/>
              <w:rPr>
                <w:rFonts w:eastAsia="方正仿宋_GBK"/>
                <w:bCs/>
                <w:sz w:val="24"/>
                <w:szCs w:val="24"/>
              </w:rPr>
            </w:pPr>
            <w:r>
              <w:rPr>
                <w:rFonts w:eastAsia="方正仿宋_GBK"/>
                <w:bCs/>
                <w:sz w:val="24"/>
                <w:szCs w:val="24"/>
              </w:rPr>
              <w:t>人工碱性锶离子营养水、牙膏级氯化锶及含锶抗敏牙膏、含锶护肤品、富锶矿化水生成复合滤芯、富锶多维功能饮料、葡萄糖酸锶、可溶性柠檬酸锶、富锶生物有机肥料、纳米锶系抗菌纤维、功能型低温热塑定位膜、玉米蛋白锶系护肤纤维、生态环保无甲醛板材。</w:t>
            </w:r>
          </w:p>
        </w:tc>
        <w:tc>
          <w:tcPr>
            <w:tcW w:w="3812"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textAlignment w:val="center"/>
              <w:rPr>
                <w:rFonts w:eastAsia="方正仿宋_GBK"/>
                <w:bCs/>
                <w:sz w:val="24"/>
                <w:szCs w:val="24"/>
              </w:rPr>
            </w:pPr>
            <w:r>
              <w:rPr>
                <w:rFonts w:eastAsia="方正仿宋_GBK"/>
                <w:bCs/>
                <w:sz w:val="24"/>
                <w:szCs w:val="24"/>
              </w:rPr>
              <w:t>重庆登康、</w:t>
            </w:r>
            <w:r>
              <w:rPr>
                <w:rFonts w:hint="eastAsia" w:eastAsia="方正仿宋_GBK"/>
                <w:bCs/>
                <w:sz w:val="24"/>
                <w:szCs w:val="24"/>
              </w:rPr>
              <w:t>法国S</w:t>
            </w:r>
            <w:r>
              <w:rPr>
                <w:rFonts w:eastAsia="方正仿宋_GBK"/>
                <w:bCs/>
                <w:sz w:val="24"/>
                <w:szCs w:val="24"/>
              </w:rPr>
              <w:t>AS</w:t>
            </w:r>
            <w:r>
              <w:rPr>
                <w:rFonts w:hint="eastAsia" w:eastAsia="方正仿宋_GBK"/>
                <w:bCs/>
                <w:sz w:val="24"/>
                <w:szCs w:val="24"/>
              </w:rPr>
              <w:t>、</w:t>
            </w:r>
            <w:r>
              <w:rPr>
                <w:rFonts w:eastAsia="方正仿宋_GBK"/>
                <w:bCs/>
                <w:sz w:val="24"/>
                <w:szCs w:val="24"/>
                <w:u w:val="single"/>
              </w:rPr>
              <w:t>丰豪新材料</w:t>
            </w:r>
            <w:r>
              <w:rPr>
                <w:rFonts w:eastAsia="方正仿宋_GBK"/>
                <w:bCs/>
                <w:sz w:val="24"/>
                <w:szCs w:val="24"/>
              </w:rPr>
              <w:t>、</w:t>
            </w:r>
            <w:r>
              <w:rPr>
                <w:rFonts w:eastAsia="方正仿宋_GBK"/>
                <w:bCs/>
                <w:sz w:val="24"/>
                <w:szCs w:val="24"/>
                <w:u w:val="single"/>
              </w:rPr>
              <w:t>元和</w:t>
            </w:r>
          </w:p>
        </w:tc>
      </w:tr>
    </w:tbl>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6．文创产业集群</w:t>
      </w:r>
    </w:p>
    <w:p>
      <w:pPr>
        <w:autoSpaceDE w:val="0"/>
        <w:spacing w:line="594" w:lineRule="exact"/>
        <w:ind w:firstLine="616" w:firstLineChars="200"/>
        <w:rPr>
          <w:rFonts w:eastAsia="方正仿宋_GBK"/>
          <w:sz w:val="32"/>
          <w:szCs w:val="24"/>
        </w:rPr>
      </w:pPr>
      <w:r>
        <w:rPr>
          <w:rFonts w:eastAsia="方正仿宋_GBK"/>
          <w:spacing w:val="-6"/>
          <w:sz w:val="32"/>
          <w:szCs w:val="32"/>
        </w:rPr>
        <w:t>以“大足石刻文化”为依托，“大足石雕”与“大足石刻文创”中国地理商标为引领，聚焦大足石刻故事挖掘、文物保护、内容创作等领域，推动传统雕刻技艺与现代产业相融合，引进培育一批石雕、木雕、玉雕、银雕等产品设计和生产加工企业，建成中国西部最大雕塑文创产业基地、中国西部石刻文创产业基地。到2025年，文创产业工业总产值达到80亿元，规上工业总产值达到50亿元。</w:t>
      </w:r>
    </w:p>
    <w:p>
      <w:pPr>
        <w:spacing w:line="594" w:lineRule="exact"/>
        <w:ind w:firstLine="619" w:firstLineChars="200"/>
        <w:rPr>
          <w:rFonts w:eastAsia="方正仿宋_GBK"/>
          <w:bCs/>
          <w:sz w:val="32"/>
          <w:szCs w:val="32"/>
          <w:lang w:bidi="ar"/>
        </w:rPr>
      </w:pPr>
      <w:r>
        <w:rPr>
          <w:rFonts w:eastAsia="方正仿宋_GBK"/>
          <w:b/>
          <w:bCs/>
          <w:spacing w:val="-6"/>
          <w:sz w:val="32"/>
          <w:szCs w:val="32"/>
        </w:rPr>
        <w:t>石雕石材。</w:t>
      </w:r>
      <w:r>
        <w:rPr>
          <w:rFonts w:eastAsia="方正仿宋_GBK"/>
          <w:sz w:val="32"/>
          <w:szCs w:val="24"/>
        </w:rPr>
        <w:t>融入大足石刻文化元素，发展现代城市雕塑以及石雕、木雕、银雕、锡雕为主的雕塑艺术产业，建设雕塑创意设计中心、雕塑加工基地、雕塑文化艺术产业园，延伸产业链，让产品广泛应用于建筑装饰、城市景观、生活用品等领域。建设雕塑艺术产业孵化园、木雕文化产业园等平台，培育壮大本地小微雕塑企业，引进山东、四川等地一批雕塑企业。持续推进西部石雕石材产业园、现代雕刻艺术基地、达富石材加工交易园区建设，新建大鑫雕塑加工基地项目、石材再生利用项目，做大做强</w:t>
      </w:r>
      <w:r>
        <w:rPr>
          <w:rFonts w:eastAsia="方正仿宋_GBK"/>
          <w:bCs/>
          <w:sz w:val="32"/>
          <w:szCs w:val="32"/>
          <w:lang w:bidi="ar"/>
        </w:rPr>
        <w:t>设计研发、数字文创、石雕石材加工，培育发展再生利用、仓储物流、荒料市场</w:t>
      </w:r>
      <w:r>
        <w:rPr>
          <w:rFonts w:eastAsia="方正仿宋_GBK"/>
          <w:sz w:val="32"/>
          <w:szCs w:val="24"/>
        </w:rPr>
        <w:t>。</w:t>
      </w:r>
    </w:p>
    <w:p>
      <w:pPr>
        <w:spacing w:line="594" w:lineRule="exact"/>
        <w:ind w:firstLine="619" w:firstLineChars="200"/>
        <w:rPr>
          <w:rFonts w:eastAsia="方正仿宋_GBK"/>
          <w:spacing w:val="-4"/>
          <w:sz w:val="32"/>
          <w:szCs w:val="24"/>
        </w:rPr>
      </w:pPr>
      <w:r>
        <w:rPr>
          <w:rFonts w:eastAsia="方正仿宋_GBK"/>
          <w:b/>
          <w:bCs/>
          <w:spacing w:val="-6"/>
          <w:sz w:val="32"/>
          <w:szCs w:val="32"/>
        </w:rPr>
        <w:t>文创艺术。</w:t>
      </w:r>
      <w:r>
        <w:rPr>
          <w:rFonts w:eastAsia="方正仿宋_GBK"/>
          <w:spacing w:val="-4"/>
          <w:sz w:val="32"/>
          <w:szCs w:val="24"/>
        </w:rPr>
        <w:t>积极引导企业加大大足石刻故事、神话等解读、延续、创造，大力开发大足石刻纪念品、雕塑等文创产品。积极对接梁明玉大师工作室等艺术大师机构，发展文创创新创意中心，挖掘塑造一批以大足石刻为题材的文创IP，推动文样设计等产业发展。推动大足石刻与AR/VR等虚拟现实技术、AI技术融合，以打造沉浸式大足石刻旅游、探秘游戏等模式为重点，引导企业加大文化挖掘和发展，发展数字内容产业。依托六匠文化、汉福雕刻艺术、达富等企业，立足大足石刻历史文化内涵，发展特色工艺品、雕塑文创、艺术门窗等特色产品。积极引导锋得利雕塑、蜀源园林环境雕塑等企业加快激光切割、3D雕塑等先进技术突破和应用，推动文创产品精细化、个性化发展。</w:t>
      </w:r>
    </w:p>
    <w:p>
      <w:pPr>
        <w:spacing w:line="594" w:lineRule="exact"/>
        <w:ind w:firstLine="619" w:firstLineChars="200"/>
        <w:rPr>
          <w:rFonts w:eastAsia="方正仿宋_GBK"/>
          <w:spacing w:val="-4"/>
          <w:sz w:val="32"/>
          <w:szCs w:val="24"/>
        </w:rPr>
      </w:pPr>
      <w:r>
        <w:rPr>
          <w:rFonts w:eastAsia="方正仿宋_GBK"/>
          <w:b/>
          <w:bCs/>
          <w:spacing w:val="-6"/>
          <w:sz w:val="32"/>
          <w:szCs w:val="32"/>
        </w:rPr>
        <w:t>专业市场。</w:t>
      </w:r>
      <w:r>
        <w:rPr>
          <w:rFonts w:eastAsia="方正仿宋_GBK"/>
          <w:sz w:val="32"/>
          <w:szCs w:val="24"/>
        </w:rPr>
        <w:t>利用文创园独特的区位优势，整合成渝地区特色产业资源，依托雕塑艺术产业、高端石材等，形成以雕塑艺术品、特色文创产品</w:t>
      </w:r>
      <w:r>
        <w:rPr>
          <w:rFonts w:eastAsia="方正仿宋_GBK"/>
          <w:spacing w:val="-4"/>
          <w:sz w:val="32"/>
          <w:szCs w:val="24"/>
        </w:rPr>
        <w:t>、高端石材等为主的专业市场集聚地。立足成渝地区双城经济圈，建设辐射西南的线下交易市场，深化与阿里巴巴等知名互联网企业合作，建设辐射全国的线上交易平台。</w:t>
      </w:r>
    </w:p>
    <w:p>
      <w:pPr>
        <w:pStyle w:val="7"/>
        <w:spacing w:after="120" w:afterLines="50" w:line="594" w:lineRule="exact"/>
        <w:ind w:left="0" w:firstLine="562" w:firstLineChars="200"/>
        <w:jc w:val="center"/>
        <w:rPr>
          <w:rFonts w:eastAsia="方正仿宋_GBK"/>
          <w:b/>
          <w:bCs/>
          <w:sz w:val="28"/>
          <w:szCs w:val="28"/>
        </w:rPr>
      </w:pPr>
      <w:r>
        <w:rPr>
          <w:rFonts w:eastAsia="方正仿宋_GBK"/>
          <w:b/>
          <w:bCs/>
          <w:sz w:val="28"/>
          <w:szCs w:val="28"/>
        </w:rPr>
        <w:t>专栏6  文创产业发展方向、重点产品及企业</w:t>
      </w:r>
    </w:p>
    <w:tbl>
      <w:tblPr>
        <w:tblStyle w:val="9"/>
        <w:tblW w:w="8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25"/>
        <w:gridCol w:w="3818"/>
        <w:gridCol w:w="3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5" w:hRule="atLeast"/>
          <w:tblHeader/>
          <w:jc w:val="center"/>
        </w:trPr>
        <w:tc>
          <w:tcPr>
            <w:tcW w:w="1025" w:type="dxa"/>
            <w:tcMar>
              <w:top w:w="15" w:type="dxa"/>
              <w:left w:w="15" w:type="dxa"/>
              <w:right w:w="15" w:type="dxa"/>
            </w:tcMar>
            <w:vAlign w:val="center"/>
          </w:tcPr>
          <w:p>
            <w:pPr>
              <w:widowControl/>
              <w:jc w:val="center"/>
              <w:textAlignment w:val="center"/>
              <w:rPr>
                <w:rFonts w:eastAsia="方正仿宋_GBK"/>
                <w:b/>
                <w:sz w:val="24"/>
                <w:szCs w:val="24"/>
              </w:rPr>
            </w:pPr>
            <w:r>
              <w:rPr>
                <w:rFonts w:eastAsia="方正仿宋_GBK"/>
                <w:b/>
                <w:kern w:val="0"/>
                <w:sz w:val="24"/>
                <w:szCs w:val="24"/>
                <w:lang w:bidi="ar"/>
              </w:rPr>
              <w:t>类别</w:t>
            </w:r>
          </w:p>
        </w:tc>
        <w:tc>
          <w:tcPr>
            <w:tcW w:w="3818" w:type="dxa"/>
            <w:tcMar>
              <w:top w:w="15" w:type="dxa"/>
              <w:left w:w="15" w:type="dxa"/>
              <w:right w:w="15" w:type="dxa"/>
            </w:tcMar>
            <w:vAlign w:val="center"/>
          </w:tcPr>
          <w:p>
            <w:pPr>
              <w:widowControl/>
              <w:jc w:val="center"/>
              <w:textAlignment w:val="center"/>
              <w:rPr>
                <w:rFonts w:eastAsia="方正仿宋_GBK"/>
                <w:b/>
                <w:sz w:val="24"/>
                <w:szCs w:val="24"/>
              </w:rPr>
            </w:pPr>
            <w:r>
              <w:rPr>
                <w:rFonts w:eastAsia="方正仿宋_GBK"/>
                <w:b/>
                <w:kern w:val="0"/>
                <w:sz w:val="24"/>
                <w:szCs w:val="24"/>
                <w:lang w:bidi="ar"/>
              </w:rPr>
              <w:t>发展方向及重点产品</w:t>
            </w:r>
          </w:p>
        </w:tc>
        <w:tc>
          <w:tcPr>
            <w:tcW w:w="3975" w:type="dxa"/>
            <w:tcMar>
              <w:top w:w="15" w:type="dxa"/>
              <w:left w:w="15" w:type="dxa"/>
              <w:right w:w="15" w:type="dxa"/>
            </w:tcMar>
            <w:vAlign w:val="center"/>
          </w:tcPr>
          <w:p>
            <w:pPr>
              <w:widowControl/>
              <w:jc w:val="center"/>
              <w:textAlignment w:val="center"/>
              <w:rPr>
                <w:rFonts w:eastAsia="方正仿宋_GBK"/>
                <w:b/>
                <w:kern w:val="0"/>
                <w:sz w:val="24"/>
                <w:szCs w:val="24"/>
                <w:lang w:bidi="ar"/>
              </w:rPr>
            </w:pPr>
            <w:r>
              <w:rPr>
                <w:rFonts w:eastAsia="方正仿宋_GBK"/>
                <w:b/>
                <w:kern w:val="0"/>
                <w:sz w:val="24"/>
                <w:szCs w:val="24"/>
                <w:lang w:bidi="ar"/>
              </w:rPr>
              <w:t>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6" w:hRule="atLeast"/>
          <w:jc w:val="center"/>
        </w:trPr>
        <w:tc>
          <w:tcPr>
            <w:tcW w:w="1025" w:type="dxa"/>
            <w:tcMar>
              <w:top w:w="15" w:type="dxa"/>
              <w:left w:w="15" w:type="dxa"/>
              <w:right w:w="15" w:type="dxa"/>
            </w:tcMar>
            <w:vAlign w:val="center"/>
          </w:tcPr>
          <w:p>
            <w:pPr>
              <w:widowControl/>
              <w:jc w:val="center"/>
              <w:textAlignment w:val="center"/>
              <w:rPr>
                <w:rFonts w:eastAsia="方正仿宋_GBK"/>
                <w:b/>
                <w:sz w:val="24"/>
                <w:szCs w:val="24"/>
              </w:rPr>
            </w:pPr>
            <w:r>
              <w:rPr>
                <w:rFonts w:eastAsia="方正仿宋_GBK"/>
                <w:b/>
                <w:sz w:val="24"/>
                <w:szCs w:val="24"/>
              </w:rPr>
              <w:t>石雕石材</w:t>
            </w:r>
          </w:p>
        </w:tc>
        <w:tc>
          <w:tcPr>
            <w:tcW w:w="3818" w:type="dxa"/>
            <w:tcMar>
              <w:top w:w="15" w:type="dxa"/>
              <w:left w:w="15" w:type="dxa"/>
              <w:right w:w="15" w:type="dxa"/>
            </w:tcMar>
            <w:vAlign w:val="center"/>
          </w:tcPr>
          <w:p>
            <w:pPr>
              <w:widowControl/>
              <w:textAlignment w:val="center"/>
              <w:rPr>
                <w:rFonts w:eastAsia="方正仿宋_GBK"/>
                <w:b/>
                <w:sz w:val="24"/>
                <w:szCs w:val="24"/>
              </w:rPr>
            </w:pPr>
            <w:r>
              <w:rPr>
                <w:rFonts w:eastAsia="方正仿宋_GBK"/>
                <w:bCs/>
                <w:kern w:val="0"/>
                <w:sz w:val="24"/>
                <w:szCs w:val="24"/>
                <w:lang w:bidi="ar"/>
              </w:rPr>
              <w:t>设计研发、数字文创、石雕石材加工、再生利用、仓储物流、荒料市场等。</w:t>
            </w:r>
          </w:p>
        </w:tc>
        <w:tc>
          <w:tcPr>
            <w:tcW w:w="3975"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u w:val="single"/>
                <w:lang w:bidi="ar"/>
              </w:rPr>
              <w:t>圣辉实业</w:t>
            </w:r>
            <w:r>
              <w:rPr>
                <w:rFonts w:eastAsia="方正仿宋_GBK"/>
                <w:bCs/>
                <w:kern w:val="0"/>
                <w:sz w:val="24"/>
                <w:szCs w:val="24"/>
                <w:lang w:bidi="ar"/>
              </w:rPr>
              <w:t>、</w:t>
            </w:r>
            <w:r>
              <w:rPr>
                <w:rFonts w:eastAsia="方正仿宋_GBK"/>
                <w:bCs/>
                <w:kern w:val="0"/>
                <w:sz w:val="24"/>
                <w:szCs w:val="24"/>
                <w:u w:val="single"/>
                <w:lang w:bidi="ar"/>
              </w:rPr>
              <w:t>达富实业</w:t>
            </w:r>
            <w:r>
              <w:rPr>
                <w:rFonts w:eastAsia="方正仿宋_GBK"/>
                <w:bCs/>
                <w:kern w:val="0"/>
                <w:sz w:val="24"/>
                <w:szCs w:val="24"/>
                <w:lang w:bidi="ar"/>
              </w:rPr>
              <w:t>、</w:t>
            </w:r>
            <w:r>
              <w:rPr>
                <w:rFonts w:eastAsia="方正仿宋_GBK"/>
                <w:bCs/>
                <w:kern w:val="0"/>
                <w:sz w:val="24"/>
                <w:szCs w:val="24"/>
                <w:u w:val="single"/>
                <w:lang w:bidi="ar"/>
              </w:rPr>
              <w:t>闵发石材</w:t>
            </w:r>
            <w:r>
              <w:rPr>
                <w:rFonts w:eastAsia="方正仿宋_GBK"/>
                <w:bCs/>
                <w:kern w:val="0"/>
                <w:sz w:val="24"/>
                <w:szCs w:val="24"/>
                <w:lang w:bidi="ar"/>
              </w:rPr>
              <w:t>、</w:t>
            </w:r>
            <w:r>
              <w:rPr>
                <w:rFonts w:eastAsia="方正仿宋_GBK"/>
                <w:bCs/>
                <w:kern w:val="0"/>
                <w:sz w:val="24"/>
                <w:szCs w:val="24"/>
                <w:u w:val="single"/>
                <w:lang w:bidi="ar"/>
              </w:rPr>
              <w:t>磊辉石材</w:t>
            </w:r>
            <w:r>
              <w:rPr>
                <w:rFonts w:eastAsia="方正仿宋_GBK"/>
                <w:bCs/>
                <w:kern w:val="0"/>
                <w:sz w:val="24"/>
                <w:szCs w:val="24"/>
                <w:lang w:bidi="ar"/>
              </w:rPr>
              <w:t>、</w:t>
            </w:r>
            <w:r>
              <w:rPr>
                <w:rFonts w:eastAsia="方正仿宋_GBK"/>
                <w:bCs/>
                <w:kern w:val="0"/>
                <w:sz w:val="24"/>
                <w:szCs w:val="24"/>
                <w:u w:val="single"/>
                <w:lang w:bidi="ar"/>
              </w:rPr>
              <w:t>足恒设备</w:t>
            </w:r>
            <w:r>
              <w:rPr>
                <w:rFonts w:eastAsia="方正仿宋_GBK"/>
                <w:bCs/>
                <w:kern w:val="0"/>
                <w:sz w:val="24"/>
                <w:szCs w:val="24"/>
                <w:lang w:bidi="ar"/>
              </w:rPr>
              <w:t>、</w:t>
            </w:r>
            <w:r>
              <w:rPr>
                <w:rFonts w:eastAsia="方正仿宋_GBK"/>
                <w:bCs/>
                <w:kern w:val="0"/>
                <w:sz w:val="24"/>
                <w:szCs w:val="24"/>
                <w:u w:val="single"/>
                <w:lang w:bidi="ar"/>
              </w:rPr>
              <w:t>团泽商贸</w:t>
            </w:r>
            <w:r>
              <w:rPr>
                <w:rFonts w:eastAsia="方正仿宋_GBK"/>
                <w:bCs/>
                <w:kern w:val="0"/>
                <w:sz w:val="24"/>
                <w:szCs w:val="24"/>
                <w:lang w:bidi="ar"/>
              </w:rPr>
              <w:t>、</w:t>
            </w:r>
            <w:r>
              <w:rPr>
                <w:rFonts w:eastAsia="方正仿宋_GBK"/>
                <w:bCs/>
                <w:kern w:val="0"/>
                <w:sz w:val="24"/>
                <w:szCs w:val="24"/>
                <w:u w:val="single"/>
                <w:lang w:bidi="ar"/>
              </w:rPr>
              <w:t>创之新科技</w:t>
            </w:r>
            <w:r>
              <w:rPr>
                <w:rFonts w:eastAsia="方正仿宋_GBK"/>
                <w:bCs/>
                <w:kern w:val="0"/>
                <w:sz w:val="24"/>
                <w:szCs w:val="24"/>
                <w:lang w:bidi="ar"/>
              </w:rPr>
              <w:t>、</w:t>
            </w:r>
            <w:r>
              <w:rPr>
                <w:rFonts w:eastAsia="方正仿宋_GBK"/>
                <w:bCs/>
                <w:kern w:val="0"/>
                <w:sz w:val="24"/>
                <w:szCs w:val="24"/>
                <w:u w:val="single"/>
                <w:lang w:bidi="ar"/>
              </w:rPr>
              <w:t>通勤材料</w:t>
            </w:r>
            <w:r>
              <w:rPr>
                <w:rFonts w:eastAsia="方正仿宋_GBK"/>
                <w:bCs/>
                <w:kern w:val="0"/>
                <w:sz w:val="24"/>
                <w:szCs w:val="24"/>
                <w:lang w:bidi="ar"/>
              </w:rPr>
              <w:t>、</w:t>
            </w:r>
            <w:r>
              <w:rPr>
                <w:rFonts w:eastAsia="方正仿宋_GBK"/>
                <w:bCs/>
                <w:kern w:val="0"/>
                <w:sz w:val="24"/>
                <w:szCs w:val="24"/>
                <w:u w:val="single"/>
                <w:lang w:bidi="ar"/>
              </w:rPr>
              <w:t>深洪辉达商贸</w:t>
            </w:r>
            <w:r>
              <w:rPr>
                <w:rFonts w:eastAsia="方正仿宋_GBK"/>
                <w:bCs/>
                <w:kern w:val="0"/>
                <w:sz w:val="24"/>
                <w:szCs w:val="24"/>
                <w:lang w:bidi="ar"/>
              </w:rPr>
              <w:t>、</w:t>
            </w:r>
            <w:r>
              <w:rPr>
                <w:rFonts w:eastAsia="方正仿宋_GBK"/>
                <w:bCs/>
                <w:kern w:val="0"/>
                <w:sz w:val="24"/>
                <w:szCs w:val="24"/>
                <w:u w:val="single"/>
                <w:lang w:bidi="ar"/>
              </w:rPr>
              <w:t>宗贤商贸</w:t>
            </w:r>
            <w:r>
              <w:rPr>
                <w:rFonts w:eastAsia="方正仿宋_GBK"/>
                <w:bCs/>
                <w:kern w:val="0"/>
                <w:sz w:val="24"/>
                <w:szCs w:val="24"/>
                <w:lang w:bidi="ar"/>
              </w:rPr>
              <w:t>、</w:t>
            </w:r>
            <w:r>
              <w:rPr>
                <w:rFonts w:eastAsia="方正仿宋_GBK"/>
                <w:bCs/>
                <w:kern w:val="0"/>
                <w:sz w:val="24"/>
                <w:szCs w:val="24"/>
                <w:u w:val="single"/>
                <w:lang w:bidi="ar"/>
              </w:rPr>
              <w:t>加特曼越电子商务</w:t>
            </w:r>
            <w:r>
              <w:rPr>
                <w:rFonts w:eastAsia="方正仿宋_GBK"/>
                <w:bCs/>
                <w:kern w:val="0"/>
                <w:sz w:val="24"/>
                <w:szCs w:val="24"/>
                <w:lang w:bidi="ar"/>
              </w:rPr>
              <w:t>、百师雕刻共享产业园、佰顺雕刻、金石3D打印、众有雕刻数控机械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2" w:hRule="atLeast"/>
          <w:jc w:val="center"/>
        </w:trPr>
        <w:tc>
          <w:tcPr>
            <w:tcW w:w="1025" w:type="dxa"/>
            <w:tcMar>
              <w:top w:w="15" w:type="dxa"/>
              <w:left w:w="15" w:type="dxa"/>
              <w:right w:w="15" w:type="dxa"/>
            </w:tcMar>
            <w:vAlign w:val="center"/>
          </w:tcPr>
          <w:p>
            <w:pPr>
              <w:widowControl/>
              <w:jc w:val="center"/>
              <w:textAlignment w:val="center"/>
              <w:rPr>
                <w:rFonts w:eastAsia="方正仿宋_GBK"/>
                <w:b/>
                <w:bCs/>
                <w:kern w:val="0"/>
                <w:sz w:val="24"/>
                <w:szCs w:val="24"/>
                <w:lang w:bidi="ar"/>
              </w:rPr>
            </w:pPr>
            <w:r>
              <w:rPr>
                <w:rFonts w:eastAsia="方正仿宋_GBK"/>
                <w:b/>
                <w:bCs/>
                <w:kern w:val="0"/>
                <w:sz w:val="24"/>
                <w:szCs w:val="24"/>
                <w:lang w:bidi="ar"/>
              </w:rPr>
              <w:t>文创艺术</w:t>
            </w:r>
          </w:p>
        </w:tc>
        <w:tc>
          <w:tcPr>
            <w:tcW w:w="3818"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创意设计、研学、雕塑加工、品牌运营、文旅装备生产。</w:t>
            </w:r>
          </w:p>
        </w:tc>
        <w:tc>
          <w:tcPr>
            <w:tcW w:w="3975"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u w:val="single"/>
                <w:lang w:bidi="ar"/>
              </w:rPr>
              <w:t>莲山雕塑</w:t>
            </w:r>
            <w:r>
              <w:rPr>
                <w:rFonts w:eastAsia="方正仿宋_GBK"/>
                <w:bCs/>
                <w:kern w:val="0"/>
                <w:sz w:val="24"/>
                <w:szCs w:val="24"/>
                <w:lang w:bidi="ar"/>
              </w:rPr>
              <w:t>、</w:t>
            </w:r>
            <w:r>
              <w:rPr>
                <w:rFonts w:eastAsia="方正仿宋_GBK"/>
                <w:bCs/>
                <w:kern w:val="0"/>
                <w:sz w:val="24"/>
                <w:szCs w:val="24"/>
                <w:u w:val="single"/>
                <w:lang w:bidi="ar"/>
              </w:rPr>
              <w:t>富瑞雕塑</w:t>
            </w:r>
            <w:r>
              <w:rPr>
                <w:rFonts w:eastAsia="方正仿宋_GBK"/>
                <w:bCs/>
                <w:kern w:val="0"/>
                <w:sz w:val="24"/>
                <w:szCs w:val="24"/>
                <w:lang w:bidi="ar"/>
              </w:rPr>
              <w:t>、</w:t>
            </w:r>
            <w:r>
              <w:rPr>
                <w:rFonts w:eastAsia="方正仿宋_GBK"/>
                <w:bCs/>
                <w:kern w:val="0"/>
                <w:sz w:val="24"/>
                <w:szCs w:val="24"/>
                <w:u w:val="single"/>
                <w:lang w:bidi="ar"/>
              </w:rPr>
              <w:t>艺鼎雕塑</w:t>
            </w:r>
            <w:r>
              <w:rPr>
                <w:rFonts w:eastAsia="方正仿宋_GBK"/>
                <w:bCs/>
                <w:kern w:val="0"/>
                <w:sz w:val="24"/>
                <w:szCs w:val="24"/>
                <w:lang w:bidi="ar"/>
              </w:rPr>
              <w:t>、</w:t>
            </w:r>
            <w:r>
              <w:rPr>
                <w:rFonts w:eastAsia="方正仿宋_GBK"/>
                <w:bCs/>
                <w:kern w:val="0"/>
                <w:sz w:val="24"/>
                <w:szCs w:val="24"/>
                <w:u w:val="single"/>
                <w:lang w:bidi="ar"/>
              </w:rPr>
              <w:t>艺鸿雕塑</w:t>
            </w:r>
            <w:r>
              <w:rPr>
                <w:rFonts w:eastAsia="方正仿宋_GBK"/>
                <w:bCs/>
                <w:kern w:val="0"/>
                <w:sz w:val="24"/>
                <w:szCs w:val="24"/>
                <w:lang w:bidi="ar"/>
              </w:rPr>
              <w:t>、</w:t>
            </w:r>
            <w:r>
              <w:rPr>
                <w:rFonts w:eastAsia="方正仿宋_GBK"/>
                <w:bCs/>
                <w:kern w:val="0"/>
                <w:sz w:val="24"/>
                <w:szCs w:val="24"/>
                <w:u w:val="single"/>
                <w:lang w:bidi="ar"/>
              </w:rPr>
              <w:t>钰女雕刻</w:t>
            </w:r>
            <w:r>
              <w:rPr>
                <w:rFonts w:eastAsia="方正仿宋_GBK"/>
                <w:bCs/>
                <w:kern w:val="0"/>
                <w:sz w:val="24"/>
                <w:szCs w:val="24"/>
                <w:lang w:bidi="ar"/>
              </w:rPr>
              <w:t>、</w:t>
            </w:r>
            <w:r>
              <w:rPr>
                <w:rFonts w:eastAsia="方正仿宋_GBK"/>
                <w:bCs/>
                <w:kern w:val="0"/>
                <w:sz w:val="24"/>
                <w:szCs w:val="24"/>
                <w:u w:val="single"/>
                <w:lang w:bidi="ar"/>
              </w:rPr>
              <w:t>荟源雕塑</w:t>
            </w:r>
            <w:r>
              <w:rPr>
                <w:rFonts w:eastAsia="方正仿宋_GBK"/>
                <w:bCs/>
                <w:kern w:val="0"/>
                <w:sz w:val="24"/>
                <w:szCs w:val="24"/>
                <w:lang w:bidi="ar"/>
              </w:rPr>
              <w:t>、</w:t>
            </w:r>
            <w:r>
              <w:rPr>
                <w:rFonts w:eastAsia="方正仿宋_GBK"/>
                <w:bCs/>
                <w:kern w:val="0"/>
                <w:sz w:val="24"/>
                <w:szCs w:val="24"/>
                <w:u w:val="single"/>
                <w:lang w:bidi="ar"/>
              </w:rPr>
              <w:t>六匠文创</w:t>
            </w:r>
            <w:r>
              <w:rPr>
                <w:rFonts w:eastAsia="方正仿宋_GBK"/>
                <w:bCs/>
                <w:kern w:val="0"/>
                <w:sz w:val="24"/>
                <w:szCs w:val="24"/>
                <w:lang w:bidi="ar"/>
              </w:rPr>
              <w:t>、</w:t>
            </w:r>
            <w:r>
              <w:rPr>
                <w:rFonts w:eastAsia="方正仿宋_GBK"/>
                <w:bCs/>
                <w:kern w:val="0"/>
                <w:sz w:val="24"/>
                <w:szCs w:val="24"/>
                <w:u w:val="single"/>
                <w:lang w:bidi="ar"/>
              </w:rPr>
              <w:t>荣臣文创</w:t>
            </w:r>
            <w:r>
              <w:rPr>
                <w:rFonts w:eastAsia="方正仿宋_GBK"/>
                <w:bCs/>
                <w:kern w:val="0"/>
                <w:sz w:val="24"/>
                <w:szCs w:val="24"/>
                <w:lang w:bidi="ar"/>
              </w:rPr>
              <w:t>、</w:t>
            </w:r>
            <w:r>
              <w:rPr>
                <w:rFonts w:eastAsia="方正仿宋_GBK"/>
                <w:bCs/>
                <w:kern w:val="0"/>
                <w:sz w:val="24"/>
                <w:szCs w:val="24"/>
                <w:u w:val="single"/>
                <w:lang w:bidi="ar"/>
              </w:rPr>
              <w:t>亭树文创</w:t>
            </w:r>
            <w:r>
              <w:rPr>
                <w:rFonts w:eastAsia="方正仿宋_GBK"/>
                <w:bCs/>
                <w:kern w:val="0"/>
                <w:sz w:val="24"/>
                <w:szCs w:val="24"/>
                <w:lang w:bidi="ar"/>
              </w:rPr>
              <w:t>、子</w:t>
            </w:r>
            <w:r>
              <w:rPr>
                <w:rFonts w:eastAsia="方正仿宋_GBK"/>
                <w:bCs/>
                <w:kern w:val="0"/>
                <w:sz w:val="24"/>
                <w:szCs w:val="24"/>
                <w:u w:val="single"/>
                <w:lang w:bidi="ar"/>
              </w:rPr>
              <w:t>翁文创</w:t>
            </w:r>
            <w:r>
              <w:rPr>
                <w:rFonts w:eastAsia="方正仿宋_GBK"/>
                <w:bCs/>
                <w:kern w:val="0"/>
                <w:sz w:val="24"/>
                <w:szCs w:val="24"/>
                <w:lang w:bidi="ar"/>
              </w:rPr>
              <w:t>、</w:t>
            </w:r>
            <w:r>
              <w:rPr>
                <w:rFonts w:eastAsia="方正仿宋_GBK"/>
                <w:bCs/>
                <w:kern w:val="0"/>
                <w:sz w:val="24"/>
                <w:szCs w:val="24"/>
                <w:u w:val="single"/>
                <w:lang w:bidi="ar"/>
              </w:rPr>
              <w:t>山人文旅</w:t>
            </w:r>
            <w:r>
              <w:rPr>
                <w:rFonts w:eastAsia="方正仿宋_GBK"/>
                <w:bCs/>
                <w:kern w:val="0"/>
                <w:sz w:val="24"/>
                <w:szCs w:val="24"/>
                <w:lang w:bidi="ar"/>
              </w:rPr>
              <w:t>、</w:t>
            </w:r>
            <w:r>
              <w:rPr>
                <w:rFonts w:eastAsia="方正仿宋_GBK"/>
                <w:bCs/>
                <w:kern w:val="0"/>
                <w:sz w:val="24"/>
                <w:szCs w:val="24"/>
                <w:u w:val="single"/>
                <w:lang w:bidi="ar"/>
              </w:rPr>
              <w:t>心量实业</w:t>
            </w:r>
            <w:r>
              <w:rPr>
                <w:rFonts w:eastAsia="方正仿宋_GBK"/>
                <w:bCs/>
                <w:kern w:val="0"/>
                <w:sz w:val="24"/>
                <w:szCs w:val="24"/>
                <w:lang w:bidi="ar"/>
              </w:rPr>
              <w:t>、南平铝业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1025" w:type="dxa"/>
            <w:tcMar>
              <w:top w:w="15" w:type="dxa"/>
              <w:left w:w="15" w:type="dxa"/>
              <w:right w:w="15" w:type="dxa"/>
            </w:tcMar>
            <w:vAlign w:val="center"/>
          </w:tcPr>
          <w:p>
            <w:pPr>
              <w:widowControl/>
              <w:jc w:val="center"/>
              <w:textAlignment w:val="center"/>
              <w:rPr>
                <w:rFonts w:eastAsia="方正仿宋_GBK"/>
                <w:b/>
                <w:bCs/>
                <w:kern w:val="0"/>
                <w:sz w:val="24"/>
                <w:szCs w:val="24"/>
                <w:lang w:bidi="ar"/>
              </w:rPr>
            </w:pPr>
            <w:r>
              <w:rPr>
                <w:rFonts w:eastAsia="方正仿宋_GBK"/>
                <w:b/>
                <w:bCs/>
                <w:kern w:val="0"/>
                <w:sz w:val="24"/>
                <w:szCs w:val="24"/>
                <w:lang w:bidi="ar"/>
              </w:rPr>
              <w:t>专业市场</w:t>
            </w:r>
          </w:p>
        </w:tc>
        <w:tc>
          <w:tcPr>
            <w:tcW w:w="3818"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线下交易市场、线上交易平台。</w:t>
            </w:r>
          </w:p>
        </w:tc>
        <w:tc>
          <w:tcPr>
            <w:tcW w:w="3975" w:type="dxa"/>
            <w:tcMar>
              <w:top w:w="15" w:type="dxa"/>
              <w:left w:w="15" w:type="dxa"/>
              <w:right w:w="15" w:type="dxa"/>
            </w:tcMar>
            <w:vAlign w:val="center"/>
          </w:tcPr>
          <w:p>
            <w:pPr>
              <w:widowControl/>
              <w:textAlignment w:val="center"/>
              <w:rPr>
                <w:rFonts w:eastAsia="方正仿宋_GBK"/>
                <w:bCs/>
                <w:kern w:val="0"/>
                <w:sz w:val="24"/>
                <w:szCs w:val="24"/>
                <w:lang w:bidi="ar"/>
              </w:rPr>
            </w:pPr>
            <w:r>
              <w:rPr>
                <w:rFonts w:eastAsia="方正仿宋_GBK"/>
                <w:bCs/>
                <w:kern w:val="0"/>
                <w:sz w:val="24"/>
                <w:szCs w:val="24"/>
                <w:lang w:bidi="ar"/>
              </w:rPr>
              <w:t>阿里巴巴</w:t>
            </w:r>
          </w:p>
        </w:tc>
      </w:tr>
    </w:tbl>
    <w:p>
      <w:pPr>
        <w:widowControl/>
        <w:spacing w:line="594" w:lineRule="exact"/>
        <w:ind w:firstLine="640" w:firstLineChars="200"/>
        <w:outlineLvl w:val="1"/>
        <w:rPr>
          <w:rFonts w:eastAsia="方正楷体_GBK"/>
          <w:sz w:val="32"/>
          <w:szCs w:val="32"/>
        </w:rPr>
      </w:pPr>
      <w:bookmarkStart w:id="37" w:name="_Toc106013348"/>
      <w:r>
        <w:rPr>
          <w:rFonts w:eastAsia="方正楷体_GBK"/>
          <w:sz w:val="32"/>
          <w:szCs w:val="32"/>
        </w:rPr>
        <w:t>（二）全力培育新兴产业集群</w:t>
      </w:r>
      <w:bookmarkEnd w:id="37"/>
    </w:p>
    <w:p>
      <w:pPr>
        <w:spacing w:line="594" w:lineRule="exact"/>
        <w:ind w:firstLine="640" w:firstLineChars="200"/>
        <w:rPr>
          <w:rFonts w:eastAsia="方正仿宋_GBK"/>
          <w:sz w:val="32"/>
          <w:szCs w:val="32"/>
        </w:rPr>
      </w:pPr>
      <w:r>
        <w:rPr>
          <w:rFonts w:eastAsia="方正仿宋_GBK"/>
          <w:sz w:val="32"/>
          <w:szCs w:val="32"/>
        </w:rPr>
        <w:t>大力培育发展大健康和现代商贸物流产业，形成全区经济发展新的增长极。推动健康医药产业及</w:t>
      </w:r>
      <w:bookmarkStart w:id="38" w:name="_Hlk97735672"/>
      <w:r>
        <w:rPr>
          <w:rFonts w:eastAsia="方正仿宋_GBK"/>
          <w:sz w:val="32"/>
          <w:szCs w:val="32"/>
        </w:rPr>
        <w:t>健康食品、健康装备、康复辅助器具</w:t>
      </w:r>
      <w:bookmarkEnd w:id="38"/>
      <w:r>
        <w:rPr>
          <w:rFonts w:eastAsia="方正仿宋_GBK"/>
          <w:sz w:val="32"/>
          <w:szCs w:val="32"/>
        </w:rPr>
        <w:t>等健康消费品产业发展，建设大健康产业基地。推动现代商贸物流与六大特色产业深度融合，加速壮大市场主体，着力提升物流业</w:t>
      </w:r>
      <w:r>
        <w:rPr>
          <w:rFonts w:eastAsia="方正仿宋_GBK"/>
          <w:sz w:val="32"/>
          <w:szCs w:val="32"/>
        </w:rPr>
        <w:fldChar w:fldCharType="begin"/>
      </w:r>
      <w:r>
        <w:rPr>
          <w:rFonts w:eastAsia="方正仿宋_GBK"/>
          <w:sz w:val="32"/>
          <w:szCs w:val="32"/>
        </w:rPr>
        <w:instrText xml:space="preserve"> HYPERLINK "http://www.baidu.com/link?url=ckg6CfU-68LIk-Is_JXkREXofIfOMjnFEEPwV9WqIFRtjLz-1u9rSY0cun34lL0NLG67mAFOGFQRzpnigbU3Ra" \t "https://gate.baidu.com/_blank" </w:instrText>
      </w:r>
      <w:r>
        <w:rPr>
          <w:rFonts w:eastAsia="方正仿宋_GBK"/>
          <w:sz w:val="32"/>
          <w:szCs w:val="32"/>
        </w:rPr>
        <w:fldChar w:fldCharType="separate"/>
      </w:r>
      <w:r>
        <w:rPr>
          <w:rFonts w:eastAsia="方正仿宋_GBK"/>
          <w:sz w:val="32"/>
          <w:szCs w:val="32"/>
        </w:rPr>
        <w:t>信息化、标准化、智能化水平</w:t>
      </w:r>
      <w:r>
        <w:rPr>
          <w:rFonts w:eastAsia="方正仿宋_GBK"/>
          <w:sz w:val="32"/>
          <w:szCs w:val="32"/>
        </w:rPr>
        <w:fldChar w:fldCharType="end"/>
      </w:r>
      <w:r>
        <w:rPr>
          <w:rFonts w:eastAsia="方正仿宋_GBK"/>
          <w:sz w:val="32"/>
          <w:szCs w:val="32"/>
        </w:rPr>
        <w:t>，促进现代商贸物流产业高质量发展。</w:t>
      </w:r>
    </w:p>
    <w:p>
      <w:pPr>
        <w:spacing w:line="594" w:lineRule="exact"/>
        <w:ind w:firstLine="643" w:firstLineChars="200"/>
        <w:outlineLvl w:val="2"/>
      </w:pPr>
      <w:r>
        <w:rPr>
          <w:rFonts w:eastAsia="方正仿宋_GBK"/>
          <w:b/>
          <w:bCs/>
          <w:kern w:val="0"/>
          <w:sz w:val="32"/>
          <w:szCs w:val="32"/>
        </w:rPr>
        <w:t>1．大健康产业</w:t>
      </w:r>
    </w:p>
    <w:p>
      <w:pPr>
        <w:spacing w:line="594" w:lineRule="exact"/>
        <w:ind w:firstLine="640" w:firstLineChars="200"/>
        <w:rPr>
          <w:rFonts w:eastAsia="方正仿宋_GBK"/>
          <w:bCs/>
          <w:sz w:val="32"/>
          <w:szCs w:val="32"/>
        </w:rPr>
      </w:pPr>
      <w:r>
        <w:rPr>
          <w:rFonts w:eastAsia="方正仿宋_GBK"/>
          <w:bCs/>
          <w:sz w:val="32"/>
          <w:szCs w:val="32"/>
        </w:rPr>
        <w:t>着眼全球卫生健康产业发展趋势和市场需求，依托大足区中药产业基础，着力提升现代技术与医药结合，大力发展现代中药、生物医药、医疗器械、康养器材等细分领域，实现产业多元化发展。到2025年，生物医药产业年产值达40亿元。</w:t>
      </w:r>
    </w:p>
    <w:p>
      <w:pPr>
        <w:spacing w:line="594" w:lineRule="exact"/>
        <w:ind w:firstLine="643" w:firstLineChars="200"/>
        <w:rPr>
          <w:rFonts w:eastAsia="方正仿宋_GBK"/>
          <w:bCs/>
          <w:sz w:val="32"/>
          <w:szCs w:val="32"/>
        </w:rPr>
      </w:pPr>
      <w:r>
        <w:rPr>
          <w:rFonts w:eastAsia="方正仿宋_GBK"/>
          <w:b/>
          <w:sz w:val="32"/>
          <w:szCs w:val="32"/>
        </w:rPr>
        <w:t>生物医药产业。</w:t>
      </w:r>
      <w:r>
        <w:rPr>
          <w:rFonts w:eastAsia="方正仿宋_GBK"/>
          <w:bCs/>
          <w:sz w:val="32"/>
          <w:szCs w:val="32"/>
        </w:rPr>
        <w:t>围绕中药、生物药、医疗器械等产业，推动生命科学、中西医药、生物工程、大数据等多领域技术融合。</w:t>
      </w:r>
      <w:r>
        <w:rPr>
          <w:rFonts w:eastAsia="方正仿宋_GBK"/>
          <w:b/>
          <w:sz w:val="32"/>
          <w:szCs w:val="32"/>
        </w:rPr>
        <w:t>现代中药。</w:t>
      </w:r>
      <w:r>
        <w:rPr>
          <w:rFonts w:eastAsia="方正仿宋_GBK"/>
          <w:bCs/>
          <w:sz w:val="32"/>
          <w:szCs w:val="32"/>
        </w:rPr>
        <w:t>构建种植、初加工到中药、饮片颗粒制剂等产业链条，大力发展好以铁山镇为核心区域的康养中药材产业区，积极推动祥源中药材等企业做大做强。支持企业围绕心脑血管疾病、自身免疫性疾病等中医治疗优势病种，开发疗效确切、临床价值高的中药新药。积极推进中药配方颗粒研发及生产，鼓励企业制定中药配方颗粒的标准与质量管理规范。</w:t>
      </w:r>
      <w:r>
        <w:rPr>
          <w:rFonts w:eastAsia="方正仿宋_GBK"/>
          <w:b/>
          <w:sz w:val="32"/>
          <w:szCs w:val="32"/>
        </w:rPr>
        <w:t>生物制药。</w:t>
      </w:r>
      <w:r>
        <w:rPr>
          <w:rFonts w:eastAsia="方正仿宋_GBK"/>
          <w:bCs/>
          <w:sz w:val="32"/>
          <w:szCs w:val="32"/>
        </w:rPr>
        <w:t>在抗体药物领域，重点开发针对肿瘤、免疫系统疾病、心血管疾病的抗体药物，加快免疫检查点抗体药物、双特异性抗体药物等新型抗体实现产业化突破。在新抗原疫苗领域，定制化针对肿瘤患者研究疫苗的国际前沿生物技术，加快产品进入临床阶段和上市。</w:t>
      </w:r>
      <w:r>
        <w:rPr>
          <w:rFonts w:eastAsia="方正仿宋_GBK"/>
          <w:b/>
          <w:sz w:val="32"/>
          <w:szCs w:val="32"/>
        </w:rPr>
        <w:t>医疗器械。</w:t>
      </w:r>
      <w:r>
        <w:rPr>
          <w:rFonts w:eastAsia="方正仿宋_GBK"/>
          <w:bCs/>
          <w:sz w:val="32"/>
          <w:szCs w:val="32"/>
        </w:rPr>
        <w:t>聚焦传染病、肿瘤等重大疾病，突破酶联免疫、数字PCR（聚合酶链式反应检测）、单细胞测序、液态活检等核心技术，发展生物诊断、分子诊断、CTC（循环肿瘤细胞）等诊断试剂。推动基因测序、基因扩增、磁酶免、胶体金等技术的应用，开发灵敏度高、重复性强、准确性好的诊断试剂盒以及相关的耗材和快检产品。支持企业与大足区中医院合作，加快建设“中医与前沿生物技术肿瘤诊治中心”，开展特需医疗服务，打造前沿生物技术肿瘤学科的样板。</w:t>
      </w:r>
    </w:p>
    <w:p>
      <w:pPr>
        <w:spacing w:line="594" w:lineRule="exact"/>
        <w:ind w:firstLine="643" w:firstLineChars="200"/>
        <w:rPr>
          <w:rFonts w:eastAsia="方正仿宋_GBK"/>
          <w:sz w:val="32"/>
          <w:szCs w:val="32"/>
        </w:rPr>
      </w:pPr>
      <w:r>
        <w:rPr>
          <w:rFonts w:eastAsia="方正仿宋_GBK"/>
          <w:b/>
          <w:bCs/>
          <w:sz w:val="32"/>
          <w:szCs w:val="32"/>
        </w:rPr>
        <w:t>健康消费品产业。</w:t>
      </w:r>
      <w:r>
        <w:rPr>
          <w:rFonts w:eastAsia="方正仿宋_GBK"/>
          <w:sz w:val="32"/>
          <w:szCs w:val="32"/>
        </w:rPr>
        <w:t>围绕体育、旅游、健身、康养等消费市场，紧盯健康消费的强大需求，积极向健康养老、体育健身、健康大数据以及健康管理等领域拓展，成为全区消费品工业发展新增长点。</w:t>
      </w:r>
      <w:r>
        <w:rPr>
          <w:rFonts w:eastAsia="方正仿宋_GBK"/>
          <w:b/>
          <w:bCs/>
          <w:sz w:val="32"/>
          <w:szCs w:val="32"/>
        </w:rPr>
        <w:t>健康装备及康复辅助器具。</w:t>
      </w:r>
      <w:r>
        <w:rPr>
          <w:rFonts w:eastAsia="方正仿宋_GBK"/>
          <w:sz w:val="32"/>
          <w:szCs w:val="32"/>
        </w:rPr>
        <w:t>整合市内外资源，着力引进培育体育健身、日用医疗等龙头型健康消费品生产制造企业，开展健康消费品的研发、生产、销售，重点发展家庭医用监护设备、家用保健器材、家用医疗康复设备、家用电子保健设备、可穿戴健康电子产品、功能性保健品、医疗美容产品等。以“绿色环保、品质优良”为发展方向，依托汽摩产业优势，培育发展新能源运动休闲车等健康消费品，支持摩托车企业推出“共享单车”。</w:t>
      </w:r>
      <w:r>
        <w:rPr>
          <w:rFonts w:eastAsia="方正仿宋_GBK"/>
          <w:b/>
          <w:bCs/>
          <w:sz w:val="32"/>
          <w:szCs w:val="32"/>
        </w:rPr>
        <w:t>健康食品及保健品。</w:t>
      </w:r>
      <w:r>
        <w:rPr>
          <w:rFonts w:eastAsia="方正仿宋_GBK"/>
          <w:sz w:val="32"/>
          <w:szCs w:val="32"/>
        </w:rPr>
        <w:t>利用富锶自然条件和锶资源优势，培育发展富锶茶叶、锶离子营养水、富锶功能饮料、含锶抗敏牙膏、葡萄糖酸锶等锶养健康产品。着力提升健康农产品粗加工和精深加工水平，不断提升冬菜尖、茶叶、粉条、雷竹鲜笋、干黄花、食用菌、富硒米、生态米、柠檬等健康食品市场综合竞争力。以芳香产业为龙头，带动芳香产品深加工及保健理疗消费品形成产业格局。</w:t>
      </w:r>
    </w:p>
    <w:p>
      <w:pPr>
        <w:pStyle w:val="7"/>
        <w:spacing w:after="120" w:afterLines="50" w:line="594" w:lineRule="exact"/>
        <w:ind w:left="0" w:firstLine="562" w:firstLineChars="200"/>
        <w:jc w:val="center"/>
        <w:rPr>
          <w:rFonts w:eastAsia="方正仿宋_GBK"/>
          <w:b/>
          <w:bCs/>
          <w:sz w:val="28"/>
          <w:szCs w:val="28"/>
        </w:rPr>
      </w:pPr>
      <w:r>
        <w:rPr>
          <w:rFonts w:eastAsia="方正仿宋_GBK"/>
          <w:b/>
          <w:bCs/>
          <w:sz w:val="28"/>
          <w:szCs w:val="28"/>
        </w:rPr>
        <w:t>专栏7  大健康产业培育发展方向、重点产品及企业</w:t>
      </w:r>
    </w:p>
    <w:tbl>
      <w:tblPr>
        <w:tblStyle w:val="9"/>
        <w:tblW w:w="9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43"/>
        <w:gridCol w:w="4707"/>
        <w:gridCol w:w="3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blHeader/>
          <w:jc w:val="center"/>
        </w:trPr>
        <w:tc>
          <w:tcPr>
            <w:tcW w:w="1343" w:type="dxa"/>
            <w:tcMar>
              <w:top w:w="10" w:type="dxa"/>
              <w:left w:w="10" w:type="dxa"/>
              <w:right w:w="10" w:type="dxa"/>
            </w:tcMar>
            <w:vAlign w:val="center"/>
          </w:tcPr>
          <w:p>
            <w:pPr>
              <w:jc w:val="center"/>
              <w:textAlignment w:val="top"/>
              <w:rPr>
                <w:rFonts w:eastAsia="方正仿宋_GBK"/>
                <w:b/>
                <w:sz w:val="24"/>
                <w:szCs w:val="24"/>
              </w:rPr>
            </w:pPr>
            <w:r>
              <w:rPr>
                <w:rFonts w:eastAsia="方正仿宋_GBK"/>
                <w:b/>
                <w:kern w:val="0"/>
                <w:sz w:val="24"/>
                <w:szCs w:val="24"/>
                <w:lang w:bidi="ar"/>
              </w:rPr>
              <w:t>类别</w:t>
            </w:r>
          </w:p>
        </w:tc>
        <w:tc>
          <w:tcPr>
            <w:tcW w:w="4707" w:type="dxa"/>
            <w:tcMar>
              <w:top w:w="10" w:type="dxa"/>
              <w:left w:w="10" w:type="dxa"/>
              <w:right w:w="10" w:type="dxa"/>
            </w:tcMar>
            <w:vAlign w:val="center"/>
          </w:tcPr>
          <w:p>
            <w:pPr>
              <w:jc w:val="center"/>
              <w:textAlignment w:val="top"/>
              <w:rPr>
                <w:rFonts w:eastAsia="方正仿宋_GBK"/>
                <w:b/>
                <w:sz w:val="24"/>
                <w:szCs w:val="24"/>
              </w:rPr>
            </w:pPr>
            <w:r>
              <w:rPr>
                <w:rFonts w:eastAsia="方正仿宋_GBK"/>
                <w:b/>
                <w:kern w:val="0"/>
                <w:sz w:val="24"/>
                <w:szCs w:val="24"/>
                <w:lang w:bidi="ar"/>
              </w:rPr>
              <w:t>发展方向及重点产品</w:t>
            </w:r>
          </w:p>
        </w:tc>
        <w:tc>
          <w:tcPr>
            <w:tcW w:w="3156" w:type="dxa"/>
            <w:vAlign w:val="center"/>
          </w:tcPr>
          <w:p>
            <w:pPr>
              <w:jc w:val="center"/>
              <w:textAlignment w:val="top"/>
              <w:rPr>
                <w:rFonts w:eastAsia="方正仿宋_GBK"/>
                <w:b/>
                <w:kern w:val="0"/>
                <w:sz w:val="24"/>
                <w:szCs w:val="24"/>
                <w:lang w:bidi="ar"/>
              </w:rPr>
            </w:pPr>
            <w:r>
              <w:rPr>
                <w:rFonts w:eastAsia="方正仿宋_GBK"/>
                <w:b/>
                <w:kern w:val="0"/>
                <w:sz w:val="24"/>
                <w:szCs w:val="24"/>
                <w:lang w:bidi="ar"/>
              </w:rPr>
              <w:t>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1" w:hRule="atLeast"/>
          <w:jc w:val="center"/>
        </w:trPr>
        <w:tc>
          <w:tcPr>
            <w:tcW w:w="1343" w:type="dxa"/>
            <w:tcMar>
              <w:top w:w="10" w:type="dxa"/>
              <w:left w:w="10" w:type="dxa"/>
              <w:right w:w="10" w:type="dxa"/>
            </w:tcMar>
            <w:vAlign w:val="center"/>
          </w:tcPr>
          <w:p>
            <w:pPr>
              <w:jc w:val="center"/>
              <w:textAlignment w:val="center"/>
              <w:rPr>
                <w:rFonts w:eastAsia="方正仿宋_GBK"/>
                <w:bCs/>
                <w:sz w:val="24"/>
                <w:szCs w:val="24"/>
              </w:rPr>
            </w:pPr>
            <w:r>
              <w:rPr>
                <w:rFonts w:eastAsia="方正仿宋_GBK"/>
                <w:bCs/>
                <w:sz w:val="24"/>
                <w:szCs w:val="24"/>
              </w:rPr>
              <w:t>现代中药</w:t>
            </w:r>
          </w:p>
        </w:tc>
        <w:tc>
          <w:tcPr>
            <w:tcW w:w="4707" w:type="dxa"/>
            <w:tcMar>
              <w:top w:w="10" w:type="dxa"/>
              <w:left w:w="10" w:type="dxa"/>
              <w:right w:w="10" w:type="dxa"/>
            </w:tcMar>
            <w:vAlign w:val="center"/>
          </w:tcPr>
          <w:p>
            <w:pPr>
              <w:textAlignment w:val="center"/>
              <w:rPr>
                <w:rFonts w:eastAsia="方正仿宋_GBK"/>
                <w:kern w:val="0"/>
                <w:sz w:val="24"/>
                <w:szCs w:val="24"/>
                <w:lang w:bidi="ar"/>
              </w:rPr>
            </w:pPr>
            <w:r>
              <w:rPr>
                <w:rFonts w:eastAsia="方正仿宋_GBK"/>
                <w:kern w:val="0"/>
                <w:sz w:val="24"/>
                <w:szCs w:val="24"/>
                <w:lang w:bidi="ar"/>
              </w:rPr>
              <w:t>中成药、中药饮片、配方颗粒等。</w:t>
            </w:r>
          </w:p>
        </w:tc>
        <w:tc>
          <w:tcPr>
            <w:tcW w:w="3156" w:type="dxa"/>
            <w:vAlign w:val="center"/>
          </w:tcPr>
          <w:p>
            <w:pPr>
              <w:textAlignment w:val="center"/>
              <w:rPr>
                <w:rFonts w:eastAsia="方正仿宋_GBK"/>
                <w:kern w:val="0"/>
                <w:sz w:val="24"/>
                <w:szCs w:val="24"/>
                <w:lang w:bidi="ar"/>
              </w:rPr>
            </w:pPr>
            <w:r>
              <w:rPr>
                <w:rFonts w:eastAsia="方正仿宋_GBK"/>
                <w:kern w:val="0"/>
                <w:sz w:val="24"/>
                <w:szCs w:val="24"/>
                <w:u w:val="single"/>
                <w:lang w:bidi="ar"/>
              </w:rPr>
              <w:t>祥源中药材</w:t>
            </w:r>
            <w:r>
              <w:rPr>
                <w:rFonts w:eastAsia="方正仿宋_GBK"/>
                <w:kern w:val="0"/>
                <w:sz w:val="24"/>
                <w:szCs w:val="24"/>
                <w:lang w:bidi="ar"/>
              </w:rPr>
              <w:t>、康美药业、天江药业等。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1" w:hRule="atLeast"/>
          <w:jc w:val="center"/>
        </w:trPr>
        <w:tc>
          <w:tcPr>
            <w:tcW w:w="1343" w:type="dxa"/>
            <w:tcMar>
              <w:top w:w="10" w:type="dxa"/>
              <w:left w:w="10" w:type="dxa"/>
              <w:right w:w="10" w:type="dxa"/>
            </w:tcMar>
            <w:vAlign w:val="center"/>
          </w:tcPr>
          <w:p>
            <w:pPr>
              <w:jc w:val="center"/>
              <w:textAlignment w:val="center"/>
              <w:rPr>
                <w:rFonts w:eastAsia="方正仿宋_GBK"/>
                <w:bCs/>
                <w:sz w:val="24"/>
                <w:szCs w:val="24"/>
              </w:rPr>
            </w:pPr>
            <w:r>
              <w:rPr>
                <w:rFonts w:eastAsia="方正仿宋_GBK"/>
                <w:bCs/>
                <w:sz w:val="24"/>
                <w:szCs w:val="24"/>
              </w:rPr>
              <w:t>生物药</w:t>
            </w:r>
          </w:p>
        </w:tc>
        <w:tc>
          <w:tcPr>
            <w:tcW w:w="4707" w:type="dxa"/>
            <w:tcMar>
              <w:top w:w="10" w:type="dxa"/>
              <w:left w:w="10" w:type="dxa"/>
              <w:right w:w="10" w:type="dxa"/>
            </w:tcMar>
            <w:vAlign w:val="center"/>
          </w:tcPr>
          <w:p>
            <w:pPr>
              <w:textAlignment w:val="center"/>
              <w:rPr>
                <w:rFonts w:eastAsia="方正仿宋_GBK"/>
                <w:sz w:val="24"/>
                <w:szCs w:val="24"/>
              </w:rPr>
            </w:pPr>
            <w:r>
              <w:rPr>
                <w:rFonts w:eastAsia="方正仿宋_GBK"/>
                <w:sz w:val="24"/>
                <w:szCs w:val="24"/>
              </w:rPr>
              <w:t>抗体药物、重组蛋白药物、细胞治疗药物等。</w:t>
            </w:r>
          </w:p>
        </w:tc>
        <w:tc>
          <w:tcPr>
            <w:tcW w:w="3156" w:type="dxa"/>
            <w:vAlign w:val="center"/>
          </w:tcPr>
          <w:p>
            <w:pPr>
              <w:textAlignment w:val="center"/>
              <w:rPr>
                <w:rFonts w:eastAsia="方正仿宋_GBK"/>
                <w:sz w:val="24"/>
                <w:szCs w:val="24"/>
              </w:rPr>
            </w:pPr>
            <w:r>
              <w:rPr>
                <w:rFonts w:eastAsia="方正仿宋_GBK"/>
                <w:kern w:val="0"/>
                <w:sz w:val="24"/>
                <w:szCs w:val="24"/>
                <w:u w:val="single"/>
                <w:lang w:bidi="ar"/>
              </w:rPr>
              <w:t>恒安化工</w:t>
            </w:r>
            <w:r>
              <w:rPr>
                <w:rFonts w:eastAsia="方正仿宋_GBK"/>
                <w:kern w:val="0"/>
                <w:sz w:val="24"/>
                <w:szCs w:val="24"/>
                <w:lang w:bidi="ar"/>
              </w:rPr>
              <w:t>、沃森生物、美恩生物等。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43" w:type="dxa"/>
            <w:tcMar>
              <w:top w:w="10" w:type="dxa"/>
              <w:left w:w="10" w:type="dxa"/>
              <w:right w:w="10" w:type="dxa"/>
            </w:tcMar>
            <w:vAlign w:val="center"/>
          </w:tcPr>
          <w:p>
            <w:pPr>
              <w:jc w:val="center"/>
              <w:textAlignment w:val="center"/>
              <w:rPr>
                <w:rFonts w:eastAsia="方正仿宋_GBK"/>
                <w:bCs/>
                <w:sz w:val="24"/>
                <w:szCs w:val="24"/>
              </w:rPr>
            </w:pPr>
            <w:r>
              <w:rPr>
                <w:rFonts w:eastAsia="方正仿宋_GBK"/>
                <w:bCs/>
                <w:sz w:val="24"/>
                <w:szCs w:val="24"/>
              </w:rPr>
              <w:t>医疗器械</w:t>
            </w:r>
          </w:p>
        </w:tc>
        <w:tc>
          <w:tcPr>
            <w:tcW w:w="4707" w:type="dxa"/>
            <w:tcMar>
              <w:top w:w="10" w:type="dxa"/>
              <w:left w:w="10" w:type="dxa"/>
              <w:right w:w="10" w:type="dxa"/>
            </w:tcMar>
            <w:vAlign w:val="center"/>
          </w:tcPr>
          <w:p>
            <w:pPr>
              <w:textAlignment w:val="center"/>
              <w:rPr>
                <w:rFonts w:eastAsia="方正仿宋_GBK"/>
                <w:kern w:val="0"/>
                <w:sz w:val="24"/>
                <w:szCs w:val="24"/>
                <w:lang w:bidi="ar"/>
              </w:rPr>
            </w:pPr>
            <w:r>
              <w:rPr>
                <w:rFonts w:eastAsia="方正仿宋_GBK"/>
                <w:kern w:val="0"/>
                <w:sz w:val="24"/>
                <w:szCs w:val="24"/>
                <w:lang w:bidi="ar"/>
              </w:rPr>
              <w:t>发展生物诊断、分子诊断、CTC（循环肿瘤细胞）等诊断试剂等体外诊断设备及试剂产品；AI影像、医疗机器人、“互联网+个人及家用医疗检测设备”等。</w:t>
            </w:r>
          </w:p>
        </w:tc>
        <w:tc>
          <w:tcPr>
            <w:tcW w:w="3156" w:type="dxa"/>
            <w:vAlign w:val="center"/>
          </w:tcPr>
          <w:p>
            <w:pPr>
              <w:textAlignment w:val="center"/>
              <w:rPr>
                <w:rFonts w:eastAsia="方正仿宋_GBK"/>
                <w:kern w:val="0"/>
                <w:sz w:val="24"/>
                <w:szCs w:val="24"/>
                <w:u w:val="single"/>
                <w:lang w:bidi="ar"/>
              </w:rPr>
            </w:pPr>
            <w:r>
              <w:rPr>
                <w:rFonts w:eastAsia="方正仿宋_GBK"/>
                <w:kern w:val="0"/>
                <w:sz w:val="24"/>
                <w:szCs w:val="24"/>
                <w:u w:val="single"/>
                <w:lang w:bidi="ar"/>
              </w:rPr>
              <w:t>宇珩、希光科技</w:t>
            </w:r>
            <w:r>
              <w:rPr>
                <w:rFonts w:eastAsia="方正仿宋_GBK"/>
                <w:kern w:val="0"/>
                <w:sz w:val="24"/>
                <w:szCs w:val="24"/>
                <w:lang w:bidi="ar"/>
              </w:rPr>
              <w:t>、华大基因、安图生物、三诺生物等。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43" w:type="dxa"/>
            <w:tcMar>
              <w:top w:w="10" w:type="dxa"/>
              <w:left w:w="10" w:type="dxa"/>
              <w:right w:w="10" w:type="dxa"/>
            </w:tcMar>
            <w:vAlign w:val="center"/>
          </w:tcPr>
          <w:p>
            <w:pPr>
              <w:jc w:val="center"/>
              <w:textAlignment w:val="center"/>
              <w:rPr>
                <w:rFonts w:eastAsia="方正仿宋_GBK"/>
                <w:bCs/>
                <w:sz w:val="24"/>
                <w:szCs w:val="24"/>
              </w:rPr>
            </w:pPr>
            <w:r>
              <w:rPr>
                <w:rFonts w:eastAsia="方正仿宋_GBK"/>
                <w:bCs/>
                <w:sz w:val="24"/>
                <w:szCs w:val="24"/>
              </w:rPr>
              <w:t>健康消费品</w:t>
            </w:r>
          </w:p>
        </w:tc>
        <w:tc>
          <w:tcPr>
            <w:tcW w:w="4707" w:type="dxa"/>
            <w:tcMar>
              <w:top w:w="10" w:type="dxa"/>
              <w:left w:w="10" w:type="dxa"/>
              <w:right w:w="10" w:type="dxa"/>
            </w:tcMar>
            <w:vAlign w:val="center"/>
          </w:tcPr>
          <w:p>
            <w:pPr>
              <w:textAlignment w:val="center"/>
              <w:rPr>
                <w:rFonts w:eastAsia="方正仿宋_GBK"/>
                <w:kern w:val="0"/>
                <w:sz w:val="24"/>
                <w:szCs w:val="24"/>
                <w:lang w:bidi="ar"/>
              </w:rPr>
            </w:pPr>
            <w:r>
              <w:rPr>
                <w:rFonts w:eastAsia="方正仿宋_GBK"/>
                <w:sz w:val="24"/>
                <w:szCs w:val="24"/>
              </w:rPr>
              <w:t>智能室内健身器材、休闲运动器材、钓具等大众休闲运动用品，骑行、登山、徒步、游泳等新兴运动高端化创新器材装备，助视器、高端助听器、智能轮椅等适老化智能康体产品。</w:t>
            </w:r>
          </w:p>
        </w:tc>
        <w:tc>
          <w:tcPr>
            <w:tcW w:w="3156" w:type="dxa"/>
            <w:vAlign w:val="center"/>
          </w:tcPr>
          <w:p>
            <w:pPr>
              <w:textAlignment w:val="center"/>
              <w:rPr>
                <w:rFonts w:eastAsia="方正仿宋_GBK"/>
                <w:kern w:val="0"/>
                <w:sz w:val="24"/>
                <w:szCs w:val="24"/>
                <w:u w:val="single"/>
                <w:lang w:bidi="ar"/>
              </w:rPr>
            </w:pPr>
            <w:r>
              <w:rPr>
                <w:rFonts w:eastAsia="方正仿宋_GBK"/>
                <w:sz w:val="24"/>
                <w:szCs w:val="24"/>
              </w:rPr>
              <w:t>小米、三星、华为、Fitbit、谷歌、索尼、佳明、步步高等。</w:t>
            </w:r>
          </w:p>
        </w:tc>
      </w:tr>
    </w:tbl>
    <w:p>
      <w:pPr>
        <w:spacing w:line="594" w:lineRule="exact"/>
        <w:ind w:firstLine="643" w:firstLineChars="200"/>
        <w:outlineLvl w:val="2"/>
      </w:pPr>
      <w:bookmarkStart w:id="39" w:name="_Toc87852625"/>
      <w:r>
        <w:rPr>
          <w:rFonts w:eastAsia="方正仿宋_GBK"/>
          <w:b/>
          <w:bCs/>
          <w:kern w:val="0"/>
          <w:sz w:val="32"/>
          <w:szCs w:val="32"/>
        </w:rPr>
        <w:t>2．现代商贸物流产业</w:t>
      </w:r>
    </w:p>
    <w:p>
      <w:pPr>
        <w:pStyle w:val="14"/>
        <w:spacing w:line="594" w:lineRule="exact"/>
        <w:ind w:firstLine="640" w:firstLineChars="200"/>
        <w:jc w:val="both"/>
        <w:rPr>
          <w:rFonts w:ascii="Times New Roman" w:hAnsi="Times New Roman" w:eastAsia="方正仿宋_GBK" w:cs="Times New Roman"/>
          <w:color w:val="auto"/>
          <w:kern w:val="2"/>
          <w:sz w:val="32"/>
          <w:szCs w:val="32"/>
        </w:rPr>
      </w:pPr>
      <w:r>
        <w:rPr>
          <w:rFonts w:ascii="Times New Roman" w:hAnsi="Times New Roman" w:eastAsia="方正仿宋_GBK" w:cs="Times New Roman"/>
          <w:color w:val="auto"/>
          <w:kern w:val="2"/>
          <w:sz w:val="32"/>
          <w:szCs w:val="32"/>
        </w:rPr>
        <w:t>以大足特色优势产业发展需求为导向，加快建设大足国际商贸物流园区，打造成渝中部地区特色化、规模化的商贸物流产业集群，切实提高全社会物流效率，降低物流成本，促进全区产业转型升级、提质增效。</w:t>
      </w:r>
    </w:p>
    <w:p>
      <w:pPr>
        <w:pStyle w:val="14"/>
        <w:spacing w:line="594" w:lineRule="exact"/>
        <w:ind w:firstLine="643" w:firstLineChars="200"/>
        <w:jc w:val="both"/>
        <w:rPr>
          <w:rFonts w:ascii="Times New Roman" w:hAnsi="Times New Roman" w:eastAsia="方正仿宋_GBK" w:cs="Times New Roman"/>
          <w:color w:val="auto"/>
          <w:kern w:val="2"/>
          <w:sz w:val="32"/>
          <w:szCs w:val="32"/>
        </w:rPr>
      </w:pPr>
      <w:r>
        <w:rPr>
          <w:rFonts w:ascii="Times New Roman" w:hAnsi="Times New Roman" w:eastAsia="方正仿宋_GBK" w:cs="Times New Roman"/>
          <w:b/>
          <w:bCs/>
          <w:color w:val="auto"/>
          <w:kern w:val="2"/>
          <w:sz w:val="32"/>
          <w:szCs w:val="32"/>
        </w:rPr>
        <w:t>产业物流。</w:t>
      </w:r>
      <w:r>
        <w:rPr>
          <w:rFonts w:ascii="Times New Roman" w:hAnsi="Times New Roman" w:eastAsia="方正仿宋_GBK" w:cs="Times New Roman"/>
          <w:color w:val="auto"/>
          <w:kern w:val="2"/>
          <w:sz w:val="32"/>
          <w:szCs w:val="32"/>
        </w:rPr>
        <w:t>以成渝地区双城经济圈建设为契机，抢抓重庆主城中心城区大型物流和市场外迁的布局调整窗口期，加快建设大足国际商贸物流园区，联动永川港、泸州港、果园港等水运港口，健全海关监管口岸功能，设立保税物流中心，打造跨境电商产业园，积极开展国家级市场采购贸易方式试点，提升物流层级和产品进出口规模。以汽摩产业、静脉产业、电子信息等产业为基础，打造智能制造、五金家居、雕塑石材、汽车、再生资源等物流集散中心，提供临时仓储、分类拣选、专业市场、配送分拨等物流服务。充分利用物联网和新一代信息技术，整合各部门物流相关信息资源，推动五金、汽摩、智能、静脉、锶盐、文创等重点产业公共信息平台建设，建立物流信息采集、交换、共享机制，实现资源共享、数据共用、信息互通。</w:t>
      </w:r>
    </w:p>
    <w:p>
      <w:pPr>
        <w:pStyle w:val="14"/>
        <w:spacing w:line="594" w:lineRule="exact"/>
        <w:ind w:firstLine="643" w:firstLineChars="200"/>
        <w:jc w:val="both"/>
        <w:rPr>
          <w:rFonts w:ascii="Times New Roman" w:hAnsi="Times New Roman" w:eastAsia="方正仿宋_GBK" w:cs="Times New Roman"/>
          <w:color w:val="auto"/>
          <w:kern w:val="2"/>
          <w:sz w:val="32"/>
          <w:szCs w:val="32"/>
        </w:rPr>
      </w:pPr>
      <w:r>
        <w:rPr>
          <w:rFonts w:ascii="Times New Roman" w:hAnsi="Times New Roman" w:eastAsia="方正仿宋_GBK" w:cs="Times New Roman"/>
          <w:b/>
          <w:bCs/>
          <w:color w:val="auto"/>
          <w:kern w:val="2"/>
          <w:sz w:val="32"/>
          <w:szCs w:val="32"/>
        </w:rPr>
        <w:t>包装配套。</w:t>
      </w:r>
      <w:r>
        <w:rPr>
          <w:rFonts w:ascii="Times New Roman" w:hAnsi="Times New Roman" w:eastAsia="方正仿宋_GBK" w:cs="Times New Roman"/>
          <w:color w:val="auto"/>
          <w:kern w:val="2"/>
          <w:sz w:val="32"/>
          <w:szCs w:val="32"/>
        </w:rPr>
        <w:t>紧跟国家层面物流包装标准化、绿色化发展趋势，以大足区现有传统产业与战略新兴产业产品包装需求为市场基础，大力发展以重载托盘、标准托盘、围板箱、周转塑料等为代表的物流包装产业体系，重点引进龙头型现代物流包装企业及相关配套市场主体。通过智能化与数字化技术手段，发展新材料新技术应用，打造融合研发设计、产品创新、生产制造、融资租赁、循环共用与商业模式创新等功能在内的物流包装产业链和供应链，赋予物流包装以感知、监控、记录、智能处理和信息传递等智慧功能，打造具有全国性服务功能和能力的物流包装循环共用平台。</w:t>
      </w:r>
    </w:p>
    <w:p>
      <w:pPr>
        <w:pStyle w:val="7"/>
        <w:spacing w:after="120" w:afterLines="50" w:line="594" w:lineRule="exact"/>
        <w:ind w:left="0" w:firstLine="562" w:firstLineChars="200"/>
        <w:jc w:val="center"/>
        <w:rPr>
          <w:rFonts w:eastAsia="方正仿宋_GBK"/>
          <w:b/>
          <w:bCs/>
          <w:sz w:val="28"/>
          <w:szCs w:val="28"/>
        </w:rPr>
      </w:pPr>
      <w:r>
        <w:rPr>
          <w:rFonts w:eastAsia="方正仿宋_GBK"/>
          <w:b/>
          <w:bCs/>
          <w:sz w:val="28"/>
          <w:szCs w:val="28"/>
        </w:rPr>
        <w:t>专栏8  现代商贸物流产业培育发展方向、重点产品及企业</w:t>
      </w:r>
    </w:p>
    <w:tbl>
      <w:tblPr>
        <w:tblStyle w:val="9"/>
        <w:tblW w:w="9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43"/>
        <w:gridCol w:w="4707"/>
        <w:gridCol w:w="3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blHeader/>
          <w:jc w:val="center"/>
        </w:trPr>
        <w:tc>
          <w:tcPr>
            <w:tcW w:w="1343" w:type="dxa"/>
            <w:tcMar>
              <w:top w:w="10" w:type="dxa"/>
              <w:left w:w="10" w:type="dxa"/>
              <w:right w:w="10" w:type="dxa"/>
            </w:tcMar>
            <w:vAlign w:val="center"/>
          </w:tcPr>
          <w:p>
            <w:pPr>
              <w:jc w:val="center"/>
              <w:textAlignment w:val="top"/>
              <w:rPr>
                <w:rFonts w:eastAsia="方正仿宋_GBK"/>
                <w:b/>
                <w:sz w:val="24"/>
                <w:szCs w:val="24"/>
              </w:rPr>
            </w:pPr>
            <w:r>
              <w:rPr>
                <w:rFonts w:eastAsia="方正仿宋_GBK"/>
                <w:b/>
                <w:kern w:val="0"/>
                <w:sz w:val="24"/>
                <w:szCs w:val="24"/>
                <w:lang w:bidi="ar"/>
              </w:rPr>
              <w:t>类别</w:t>
            </w:r>
          </w:p>
        </w:tc>
        <w:tc>
          <w:tcPr>
            <w:tcW w:w="4707" w:type="dxa"/>
            <w:tcMar>
              <w:top w:w="10" w:type="dxa"/>
              <w:left w:w="10" w:type="dxa"/>
              <w:right w:w="10" w:type="dxa"/>
            </w:tcMar>
            <w:vAlign w:val="center"/>
          </w:tcPr>
          <w:p>
            <w:pPr>
              <w:jc w:val="center"/>
              <w:textAlignment w:val="top"/>
              <w:rPr>
                <w:rFonts w:eastAsia="方正仿宋_GBK"/>
                <w:b/>
                <w:sz w:val="24"/>
                <w:szCs w:val="24"/>
              </w:rPr>
            </w:pPr>
            <w:r>
              <w:rPr>
                <w:rFonts w:eastAsia="方正仿宋_GBK"/>
                <w:b/>
                <w:kern w:val="0"/>
                <w:sz w:val="24"/>
                <w:szCs w:val="24"/>
                <w:lang w:bidi="ar"/>
              </w:rPr>
              <w:t>发展方向及重点产品</w:t>
            </w:r>
          </w:p>
        </w:tc>
        <w:tc>
          <w:tcPr>
            <w:tcW w:w="3156" w:type="dxa"/>
            <w:vAlign w:val="center"/>
          </w:tcPr>
          <w:p>
            <w:pPr>
              <w:jc w:val="center"/>
              <w:textAlignment w:val="top"/>
              <w:rPr>
                <w:rFonts w:eastAsia="方正仿宋_GBK"/>
                <w:b/>
                <w:kern w:val="0"/>
                <w:sz w:val="24"/>
                <w:szCs w:val="24"/>
                <w:lang w:bidi="ar"/>
              </w:rPr>
            </w:pPr>
            <w:r>
              <w:rPr>
                <w:rFonts w:eastAsia="方正仿宋_GBK"/>
                <w:b/>
                <w:kern w:val="0"/>
                <w:sz w:val="24"/>
                <w:szCs w:val="24"/>
                <w:lang w:bidi="ar"/>
              </w:rPr>
              <w:t>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1" w:hRule="atLeast"/>
          <w:jc w:val="center"/>
        </w:trPr>
        <w:tc>
          <w:tcPr>
            <w:tcW w:w="1343" w:type="dxa"/>
            <w:tcMar>
              <w:top w:w="10" w:type="dxa"/>
              <w:left w:w="10" w:type="dxa"/>
              <w:right w:w="10" w:type="dxa"/>
            </w:tcMar>
            <w:vAlign w:val="center"/>
          </w:tcPr>
          <w:p>
            <w:pPr>
              <w:jc w:val="center"/>
              <w:textAlignment w:val="center"/>
              <w:rPr>
                <w:rFonts w:eastAsia="方正仿宋_GBK"/>
                <w:bCs/>
                <w:sz w:val="24"/>
                <w:szCs w:val="24"/>
              </w:rPr>
            </w:pPr>
            <w:r>
              <w:rPr>
                <w:rFonts w:eastAsia="方正仿宋_GBK"/>
                <w:bCs/>
                <w:sz w:val="24"/>
                <w:szCs w:val="24"/>
              </w:rPr>
              <w:t>产业物流</w:t>
            </w:r>
          </w:p>
        </w:tc>
        <w:tc>
          <w:tcPr>
            <w:tcW w:w="4707" w:type="dxa"/>
            <w:tcMar>
              <w:top w:w="10" w:type="dxa"/>
              <w:left w:w="10" w:type="dxa"/>
              <w:right w:w="10" w:type="dxa"/>
            </w:tcMar>
            <w:vAlign w:val="center"/>
          </w:tcPr>
          <w:p>
            <w:pPr>
              <w:textAlignment w:val="center"/>
              <w:rPr>
                <w:rFonts w:eastAsia="方正仿宋_GBK"/>
                <w:kern w:val="0"/>
                <w:sz w:val="24"/>
                <w:szCs w:val="24"/>
                <w:lang w:bidi="ar"/>
              </w:rPr>
            </w:pPr>
            <w:r>
              <w:rPr>
                <w:rFonts w:eastAsia="方正仿宋_GBK"/>
                <w:kern w:val="0"/>
                <w:sz w:val="24"/>
                <w:szCs w:val="24"/>
                <w:lang w:bidi="ar"/>
              </w:rPr>
              <w:t>仓储、分类拣选、配送分拨、跨境电商、保税物流等。</w:t>
            </w:r>
          </w:p>
        </w:tc>
        <w:tc>
          <w:tcPr>
            <w:tcW w:w="3156" w:type="dxa"/>
            <w:vAlign w:val="center"/>
          </w:tcPr>
          <w:p>
            <w:pPr>
              <w:textAlignment w:val="center"/>
              <w:rPr>
                <w:rFonts w:eastAsia="方正仿宋_GBK"/>
                <w:kern w:val="0"/>
                <w:sz w:val="24"/>
                <w:szCs w:val="24"/>
                <w:lang w:bidi="ar"/>
              </w:rPr>
            </w:pPr>
            <w:r>
              <w:rPr>
                <w:rFonts w:eastAsia="方正仿宋_GBK"/>
                <w:kern w:val="0"/>
                <w:sz w:val="24"/>
                <w:szCs w:val="24"/>
                <w:lang w:bidi="ar"/>
              </w:rPr>
              <w:t>顺丰、中远海控、京东物流、中通快递、铁龙物流等。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1" w:hRule="atLeast"/>
          <w:jc w:val="center"/>
        </w:trPr>
        <w:tc>
          <w:tcPr>
            <w:tcW w:w="1343" w:type="dxa"/>
            <w:tcMar>
              <w:top w:w="10" w:type="dxa"/>
              <w:left w:w="10" w:type="dxa"/>
              <w:right w:w="10" w:type="dxa"/>
            </w:tcMar>
            <w:vAlign w:val="center"/>
          </w:tcPr>
          <w:p>
            <w:pPr>
              <w:jc w:val="center"/>
              <w:textAlignment w:val="center"/>
              <w:rPr>
                <w:rFonts w:eastAsia="方正仿宋_GBK"/>
                <w:bCs/>
                <w:sz w:val="24"/>
                <w:szCs w:val="24"/>
              </w:rPr>
            </w:pPr>
            <w:r>
              <w:rPr>
                <w:rFonts w:eastAsia="方正仿宋_GBK"/>
                <w:bCs/>
                <w:sz w:val="24"/>
                <w:szCs w:val="24"/>
              </w:rPr>
              <w:t>包装配套</w:t>
            </w:r>
          </w:p>
        </w:tc>
        <w:tc>
          <w:tcPr>
            <w:tcW w:w="4707" w:type="dxa"/>
            <w:tcMar>
              <w:top w:w="10" w:type="dxa"/>
              <w:left w:w="10" w:type="dxa"/>
              <w:right w:w="10" w:type="dxa"/>
            </w:tcMar>
            <w:vAlign w:val="center"/>
          </w:tcPr>
          <w:p>
            <w:pPr>
              <w:textAlignment w:val="center"/>
              <w:rPr>
                <w:rFonts w:eastAsia="方正仿宋_GBK"/>
                <w:sz w:val="24"/>
                <w:szCs w:val="24"/>
              </w:rPr>
            </w:pPr>
            <w:r>
              <w:rPr>
                <w:rFonts w:eastAsia="方正仿宋_GBK"/>
                <w:sz w:val="24"/>
                <w:szCs w:val="24"/>
              </w:rPr>
              <w:t>重载托盘、标准托盘、围板箱、周转塑料、智能包装等。</w:t>
            </w:r>
          </w:p>
        </w:tc>
        <w:tc>
          <w:tcPr>
            <w:tcW w:w="3156" w:type="dxa"/>
            <w:vAlign w:val="center"/>
          </w:tcPr>
          <w:p>
            <w:pPr>
              <w:textAlignment w:val="center"/>
              <w:rPr>
                <w:rFonts w:eastAsia="方正仿宋_GBK"/>
                <w:sz w:val="24"/>
                <w:szCs w:val="24"/>
              </w:rPr>
            </w:pPr>
            <w:r>
              <w:rPr>
                <w:rFonts w:eastAsia="方正仿宋_GBK"/>
                <w:kern w:val="0"/>
                <w:sz w:val="24"/>
                <w:szCs w:val="24"/>
                <w:lang w:bidi="ar"/>
              </w:rPr>
              <w:t>天元股份、力卡托盘、隆鑫共享包装等。</w:t>
            </w:r>
          </w:p>
        </w:tc>
      </w:tr>
    </w:tbl>
    <w:p>
      <w:pPr>
        <w:widowControl/>
        <w:spacing w:line="594" w:lineRule="exact"/>
        <w:outlineLvl w:val="0"/>
        <w:rPr>
          <w:rFonts w:eastAsia="方正黑体_GBK"/>
          <w:sz w:val="32"/>
          <w:szCs w:val="32"/>
        </w:rPr>
      </w:pPr>
      <w:bookmarkStart w:id="40" w:name="_Toc106013349"/>
      <w:r>
        <w:rPr>
          <w:rFonts w:eastAsia="方正黑体_GBK"/>
          <w:sz w:val="32"/>
          <w:szCs w:val="32"/>
        </w:rPr>
        <w:t>五、实施八大重点工程</w:t>
      </w:r>
      <w:bookmarkEnd w:id="40"/>
    </w:p>
    <w:p>
      <w:pPr>
        <w:widowControl/>
        <w:spacing w:line="594" w:lineRule="exact"/>
        <w:ind w:firstLine="640" w:firstLineChars="200"/>
        <w:outlineLvl w:val="1"/>
        <w:rPr>
          <w:rFonts w:eastAsia="方正楷体_GBK"/>
          <w:sz w:val="32"/>
          <w:szCs w:val="32"/>
        </w:rPr>
      </w:pPr>
      <w:bookmarkStart w:id="41" w:name="_Toc106013350"/>
      <w:bookmarkStart w:id="42" w:name="_Toc87852628"/>
      <w:bookmarkStart w:id="43" w:name="_Toc87852616"/>
      <w:bookmarkStart w:id="44" w:name="_Toc87852619"/>
      <w:bookmarkStart w:id="45" w:name="_Hlk84684882"/>
      <w:bookmarkStart w:id="46" w:name="_Hlk90830466"/>
      <w:r>
        <w:rPr>
          <w:rFonts w:eastAsia="方正楷体_GBK"/>
          <w:sz w:val="32"/>
          <w:szCs w:val="32"/>
        </w:rPr>
        <w:t>（一）实施科技创新引领工程</w:t>
      </w:r>
      <w:bookmarkEnd w:id="41"/>
    </w:p>
    <w:p>
      <w:pPr>
        <w:pStyle w:val="14"/>
        <w:spacing w:line="594" w:lineRule="exact"/>
        <w:ind w:firstLine="640" w:firstLineChars="200"/>
        <w:jc w:val="both"/>
        <w:rPr>
          <w:rFonts w:ascii="Times New Roman" w:hAnsi="Times New Roman" w:eastAsia="方正仿宋_GBK" w:cs="Times New Roman"/>
          <w:color w:val="auto"/>
          <w:kern w:val="2"/>
          <w:sz w:val="32"/>
          <w:szCs w:val="32"/>
        </w:rPr>
      </w:pPr>
      <w:r>
        <w:rPr>
          <w:rFonts w:ascii="Times New Roman" w:hAnsi="Times New Roman" w:eastAsia="方正仿宋_GBK" w:cs="Times New Roman"/>
          <w:color w:val="auto"/>
          <w:kern w:val="2"/>
          <w:sz w:val="32"/>
          <w:szCs w:val="32"/>
        </w:rPr>
        <w:t>强化创新对产业发展的关键支撑作用，突出自主创新体系建设，重点围绕五金、文创、汽摩、智能、静脉、锶盐以及大健康、现代商贸物流等特色产业发展和转型升级需求，以关键技术攻关为突破口，以智能化改造为抓手，以数字经济为新引擎，着力塑造创新驱动新优势，有效激发产业发展新动力。</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1．加强创新载体建设</w:t>
      </w:r>
    </w:p>
    <w:p>
      <w:pPr>
        <w:pStyle w:val="15"/>
        <w:spacing w:line="600" w:lineRule="exact"/>
        <w:ind w:firstLine="643" w:firstLineChars="200"/>
        <w:rPr>
          <w:rFonts w:eastAsia="方正仿宋_GBK"/>
          <w:sz w:val="32"/>
          <w:szCs w:val="32"/>
        </w:rPr>
      </w:pPr>
      <w:r>
        <w:rPr>
          <w:rFonts w:eastAsia="方正仿宋_GBK"/>
          <w:b/>
          <w:sz w:val="32"/>
          <w:szCs w:val="32"/>
        </w:rPr>
        <w:t>推进重大创新平台建设。</w:t>
      </w:r>
      <w:r>
        <w:rPr>
          <w:rFonts w:eastAsia="方正仿宋_GBK"/>
          <w:sz w:val="32"/>
          <w:szCs w:val="32"/>
        </w:rPr>
        <w:t>以“国家级高新技术产业开发区”为核心引擎，加强大足高新区、双桥经开区、大足工业园区、大足石刻文创园区等重大创新平台协同发展。大足高新区重点围绕智能装备、环保装备、现代汽摩、生物医药、电子信息等战略性新兴产业，引进一批创新能力强、掌握核心关键技术的高新技术企业和科技型企业。双桥经开区重点加强企业自主创新能力，开展各类技术创新、商业模式创新和管理模式创新，推动打造一批产业生产创新基地。大足工业园区要加快新一代信息技术应用，深入实施智能化改造。大足石刻文创园以“科技+文化+旅游”的模式，大力发展大足石刻文化创意、生产、传播和消费等环节共性关键技术研究。</w:t>
      </w:r>
    </w:p>
    <w:p>
      <w:pPr>
        <w:spacing w:line="594" w:lineRule="exact"/>
        <w:ind w:firstLine="643" w:firstLineChars="200"/>
        <w:rPr>
          <w:rFonts w:eastAsia="方正仿宋_GBK"/>
          <w:sz w:val="32"/>
          <w:szCs w:val="32"/>
        </w:rPr>
      </w:pPr>
      <w:r>
        <w:rPr>
          <w:rFonts w:eastAsia="方正仿宋_GBK"/>
          <w:b/>
          <w:sz w:val="32"/>
          <w:szCs w:val="32"/>
        </w:rPr>
        <w:t>加速聚集高端创新资源。</w:t>
      </w:r>
      <w:r>
        <w:rPr>
          <w:rFonts w:eastAsia="方正仿宋_GBK"/>
          <w:sz w:val="32"/>
          <w:szCs w:val="32"/>
        </w:rPr>
        <w:t>围绕全区18条重点产业链，探索发展“研究院经济”，加快聚集一批高端研发平台、新型研发机构和高水平成果孵化机构，实现国家级、省（市）级重大科技项目、重点实验室、产业创新中心“零”的突破。加快推进五金工业技术研究院、智慧城乡产业设计研究院、数字经济智慧服务园、重庆北科研究院等项目落地见效。全面挖掘梳理中科院、重庆大学、华东理工等高校院所一流研发团队、重大创新平台、领军人才等高端创新资源，深化与校（院）本部合作层级，采用自建或共建重大研发平台、分支机构、人才培育基地等多样化方式开展合作。</w:t>
      </w:r>
      <w:r>
        <w:rPr>
          <w:rFonts w:eastAsia="方正仿宋_GBK"/>
          <w:bCs/>
          <w:sz w:val="32"/>
          <w:szCs w:val="32"/>
        </w:rPr>
        <w:t>到2025年</w:t>
      </w:r>
      <w:r>
        <w:rPr>
          <w:rFonts w:eastAsia="方正仿宋_GBK"/>
          <w:sz w:val="32"/>
          <w:szCs w:val="32"/>
        </w:rPr>
        <w:t>，</w:t>
      </w:r>
      <w:r>
        <w:rPr>
          <w:rFonts w:eastAsia="方正仿宋_GBK"/>
          <w:bCs/>
          <w:sz w:val="32"/>
          <w:szCs w:val="32"/>
        </w:rPr>
        <w:t>新培育市级科技创新平台10个以上，</w:t>
      </w:r>
      <w:r>
        <w:rPr>
          <w:rFonts w:eastAsia="方正仿宋_GBK"/>
          <w:sz w:val="32"/>
          <w:szCs w:val="32"/>
        </w:rPr>
        <w:t>企业技术中心、工业设计中心、制造业创新中心等市级创新机构累计数量突破130家。</w:t>
      </w:r>
    </w:p>
    <w:p>
      <w:pPr>
        <w:spacing w:line="594" w:lineRule="exact"/>
        <w:ind w:firstLine="643" w:firstLineChars="200"/>
        <w:rPr>
          <w:rFonts w:eastAsia="方正仿宋_GBK"/>
          <w:sz w:val="32"/>
          <w:szCs w:val="32"/>
        </w:rPr>
      </w:pPr>
      <w:r>
        <w:rPr>
          <w:rFonts w:eastAsia="方正仿宋_GBK"/>
          <w:b/>
          <w:sz w:val="32"/>
          <w:szCs w:val="32"/>
        </w:rPr>
        <w:t>强化企业创新主体地位。</w:t>
      </w:r>
      <w:r>
        <w:rPr>
          <w:rFonts w:eastAsia="方正仿宋_GBK"/>
          <w:sz w:val="32"/>
          <w:szCs w:val="32"/>
        </w:rPr>
        <w:t>深入实施规模工业企业研发机构五年倍增计划，完善“科技型企业+高新技术企业+创新型高成长企业”的分类指导、梯次培育机制。</w:t>
      </w:r>
      <w:r>
        <w:rPr>
          <w:rFonts w:eastAsia="方正仿宋_GBK"/>
          <w:sz w:val="32"/>
          <w:szCs w:val="40"/>
        </w:rPr>
        <w:t>推动高新技术企业和科技型企业认定及研发投入加计扣除等</w:t>
      </w:r>
      <w:r>
        <w:rPr>
          <w:rFonts w:eastAsia="方正仿宋_GBK"/>
          <w:sz w:val="32"/>
          <w:szCs w:val="32"/>
        </w:rPr>
        <w:t>普惠性创新政策落地实施。支持重点企业、高等院校、科研院所联合组建民办非企业性质的研究院机构，有针对性开展核心技术攻关，推进新产品、新材料、新技术开发应用，带动产业链上下游集聚。鼓励支持企业牵头或参与国家、市、区科技重大专项等科技项目实施。</w:t>
      </w:r>
      <w:r>
        <w:rPr>
          <w:rFonts w:eastAsia="方正仿宋_GBK"/>
          <w:bCs/>
          <w:sz w:val="32"/>
          <w:szCs w:val="32"/>
        </w:rPr>
        <w:t>到2025年，</w:t>
      </w:r>
      <w:r>
        <w:rPr>
          <w:rFonts w:eastAsia="方正仿宋_GBK"/>
          <w:sz w:val="32"/>
          <w:szCs w:val="32"/>
        </w:rPr>
        <w:t>高新技术企业、科技型企业数量分别达到260家、1400家、规模以上工业企业研发机构覆盖面达到50%以上。</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2．提升原始创新能力</w:t>
      </w:r>
    </w:p>
    <w:p>
      <w:pPr>
        <w:spacing w:line="594" w:lineRule="exact"/>
        <w:ind w:firstLine="643" w:firstLineChars="200"/>
        <w:rPr>
          <w:rFonts w:eastAsia="方正仿宋_GBK"/>
          <w:sz w:val="32"/>
          <w:szCs w:val="32"/>
        </w:rPr>
      </w:pPr>
      <w:r>
        <w:rPr>
          <w:rFonts w:eastAsia="方正仿宋_GBK"/>
          <w:b/>
          <w:bCs/>
          <w:sz w:val="32"/>
          <w:szCs w:val="32"/>
        </w:rPr>
        <w:t>加快核心技术攻关。</w:t>
      </w:r>
      <w:r>
        <w:rPr>
          <w:rFonts w:eastAsia="方正仿宋_GBK"/>
          <w:sz w:val="32"/>
          <w:szCs w:val="32"/>
        </w:rPr>
        <w:t>聚焦五金、汽摩、智能、静脉、锶盐、文创等产业需求，</w:t>
      </w:r>
      <w:r>
        <w:rPr>
          <w:rFonts w:eastAsia="方正仿宋_GBK"/>
          <w:sz w:val="32"/>
          <w:szCs w:val="40"/>
        </w:rPr>
        <w:t>梳理产业关键共性技术难题，探索实施“揭榜挂帅”等制度，以重大需求为导向，以解决问题成效为衡量标准，做好产业创新和产业孵化。</w:t>
      </w:r>
      <w:r>
        <w:rPr>
          <w:rFonts w:eastAsia="方正仿宋_GBK"/>
          <w:sz w:val="32"/>
        </w:rPr>
        <w:t>强化现代五金、智能汽车等产业工艺、产品升级、功能升级，着力突破关键基础材料、核心基础零部件（元器件）、先进基础工艺、产业技术基础、基础工业软件技术瓶颈，研究核心技术，开发硬核产品，</w:t>
      </w:r>
      <w:r>
        <w:rPr>
          <w:rFonts w:eastAsia="方正仿宋_GBK"/>
          <w:sz w:val="32"/>
          <w:szCs w:val="32"/>
        </w:rPr>
        <w:t>推广“在研一批、开发一批、上市一批”新产品滚动开发模式</w:t>
      </w:r>
      <w:r>
        <w:rPr>
          <w:rFonts w:eastAsia="方正仿宋_GBK"/>
          <w:sz w:val="32"/>
        </w:rPr>
        <w:t>。</w:t>
      </w:r>
      <w:r>
        <w:rPr>
          <w:rFonts w:eastAsia="方正仿宋_GBK"/>
          <w:sz w:val="32"/>
          <w:szCs w:val="32"/>
        </w:rPr>
        <w:t>瞄准人工智能、集成电路等前沿领域，谋划一批具有前瞻性、战略性的重大科技项目。</w:t>
      </w:r>
      <w:r>
        <w:rPr>
          <w:rFonts w:eastAsia="方正仿宋_GBK"/>
          <w:sz w:val="32"/>
          <w:szCs w:val="40"/>
        </w:rPr>
        <w:t>探索实施“借脑借智”行动，采取外聘高校、科研院所、高新技术企业专家开展协同攻关、成果转化，借助“外脑”攻克一批产业发展关键技术。</w:t>
      </w:r>
    </w:p>
    <w:p>
      <w:pPr>
        <w:spacing w:line="594" w:lineRule="exact"/>
        <w:ind w:firstLine="643" w:firstLineChars="200"/>
        <w:rPr>
          <w:rFonts w:eastAsia="方正仿宋_GBK"/>
          <w:sz w:val="32"/>
          <w:szCs w:val="40"/>
        </w:rPr>
      </w:pPr>
      <w:r>
        <w:rPr>
          <w:rFonts w:eastAsia="方正仿宋_GBK"/>
          <w:b/>
          <w:bCs/>
          <w:sz w:val="32"/>
          <w:szCs w:val="40"/>
        </w:rPr>
        <w:t>组建产业创新联合体。</w:t>
      </w:r>
      <w:r>
        <w:rPr>
          <w:rFonts w:eastAsia="方正仿宋_GBK"/>
          <w:sz w:val="32"/>
          <w:szCs w:val="32"/>
        </w:rPr>
        <w:t>围绕重点产业发展，引导和支持有条件的领军企业以共同利益为纽带、市场机制为保障，联合行业上下游、产学研力量组建创新联合体。</w:t>
      </w:r>
      <w:r>
        <w:rPr>
          <w:rFonts w:eastAsia="方正仿宋_GBK"/>
          <w:sz w:val="32"/>
          <w:szCs w:val="40"/>
        </w:rPr>
        <w:t>探索以政府应用场景引导+本地龙头企业引领+高校院所参与的模式，促进</w:t>
      </w:r>
      <w:r>
        <w:rPr>
          <w:rFonts w:eastAsia="方正仿宋_GBK"/>
          <w:sz w:val="32"/>
          <w:szCs w:val="32"/>
        </w:rPr>
        <w:t>产学研</w:t>
      </w:r>
      <w:r>
        <w:rPr>
          <w:rFonts w:eastAsia="方正仿宋_GBK"/>
          <w:sz w:val="32"/>
          <w:szCs w:val="40"/>
        </w:rPr>
        <w:t>教以及产业链和创新链深度融合。引导专用车、电梯、摩托车、五金刀剪等生产企业与高校、科研院所深化研发合作，组建产业技术创新联盟，协同开展共性技术研发和产业化应用示范，切实解决产品开发、工艺更新、成果转化的技术需求。鼓励产业创新联合体搭建服务型共性技术平台，为中小企业提供研发设计、检验检测、样品制造、中试生产等研发共享服务。</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3．优化科技创新生态</w:t>
      </w:r>
    </w:p>
    <w:p>
      <w:pPr>
        <w:spacing w:line="594" w:lineRule="exact"/>
        <w:ind w:firstLine="643" w:firstLineChars="200"/>
        <w:rPr>
          <w:rFonts w:eastAsia="方正仿宋_GBK"/>
          <w:sz w:val="32"/>
          <w:szCs w:val="32"/>
        </w:rPr>
      </w:pPr>
      <w:r>
        <w:rPr>
          <w:rFonts w:eastAsia="方正仿宋_GBK"/>
          <w:b/>
          <w:bCs/>
          <w:sz w:val="32"/>
          <w:szCs w:val="40"/>
        </w:rPr>
        <w:t>推动</w:t>
      </w:r>
      <w:r>
        <w:rPr>
          <w:rFonts w:eastAsia="方正仿宋_GBK"/>
          <w:b/>
          <w:bCs/>
          <w:kern w:val="0"/>
          <w:sz w:val="32"/>
          <w:szCs w:val="32"/>
        </w:rPr>
        <w:t>科技成果</w:t>
      </w:r>
      <w:r>
        <w:rPr>
          <w:rFonts w:eastAsia="方正仿宋_GBK"/>
          <w:b/>
          <w:kern w:val="0"/>
          <w:sz w:val="32"/>
          <w:szCs w:val="32"/>
        </w:rPr>
        <w:t>就地转化。</w:t>
      </w:r>
      <w:r>
        <w:rPr>
          <w:rFonts w:eastAsia="方正仿宋_GBK"/>
          <w:bCs/>
          <w:kern w:val="0"/>
          <w:sz w:val="32"/>
          <w:szCs w:val="32"/>
        </w:rPr>
        <w:t>建立健全“众创空间+孵化器+加速器”全链条孵化载体体系，</w:t>
      </w:r>
      <w:r>
        <w:rPr>
          <w:rFonts w:eastAsia="方正仿宋_GBK"/>
          <w:sz w:val="32"/>
          <w:szCs w:val="32"/>
        </w:rPr>
        <w:t>鼓励科技型企业联合高校和科研院所建设企业平台型众创空间，支持围绕区内主导特色产业建设特色化、个性化创新创业载体，</w:t>
      </w:r>
      <w:r>
        <w:rPr>
          <w:rFonts w:eastAsia="方正仿宋_GBK"/>
          <w:bCs/>
          <w:kern w:val="0"/>
          <w:sz w:val="32"/>
          <w:szCs w:val="32"/>
        </w:rPr>
        <w:t>打通科技成果转化“最后一公里”，让更多科技成果从“实验室”走向“生产线”。</w:t>
      </w:r>
      <w:r>
        <w:rPr>
          <w:rFonts w:eastAsia="方正仿宋_GBK"/>
          <w:sz w:val="32"/>
          <w:szCs w:val="32"/>
        </w:rPr>
        <w:t>完善众创孵化扶持政策，完善金融投资体系，鼓励民营资本建立风险投资基金，加大对众创空间和孵化器的资金补助力度。加强本地企业就地化产能协同，建立大足工业企业供应链公共服务平台，及时发布供需信息，建立常态化产销对接机制。加快创新成果推广应用，深入实施首台（套）技术装备、首批次新材料、首版次高端软件等领域保险补偿机制，促进新产品和迭代产品上量销售。到2025年，有效发明达到450件以上，市级以上众创空间达到4个。</w:t>
      </w:r>
    </w:p>
    <w:p>
      <w:pPr>
        <w:spacing w:line="594" w:lineRule="exact"/>
        <w:ind w:firstLine="643" w:firstLineChars="200"/>
      </w:pPr>
      <w:r>
        <w:rPr>
          <w:rFonts w:eastAsia="方正仿宋_GBK"/>
          <w:b/>
          <w:bCs/>
          <w:sz w:val="32"/>
          <w:szCs w:val="32"/>
        </w:rPr>
        <w:t>营造双创文化氛围。</w:t>
      </w:r>
      <w:r>
        <w:rPr>
          <w:rFonts w:eastAsia="方正仿宋_GBK"/>
          <w:sz w:val="32"/>
          <w:szCs w:val="32"/>
        </w:rPr>
        <w:t>细化完善科技创新激励政策，积极营造鼓励创新、支持创新、参与创新的浓厚氛围。组建和引进创投基金、天使基金、风投基金，扩大知识价值信用贷款规模，构建以政府为引导、企业为主体、社会资本为支撑的多元化科技投入体系。积极倡导崇尚创新创业致富的价值导向，大力培育敢为人先、宽容失败的创业精神和创客文化。支持农民工、复退军人返乡创业，着力吸引高校和职业学院毕业生、归国留学人员等青年人才到大足创新创业。开展先进典型宣讲活动，大力宣传在科技创新创业过程中涌现的科技创新团队、领军人才和先进人物的优秀典型和先进事迹。加强宣传和舆论引导，积极举办“足创足新”“科技活动周”等活动，大力宣扬创新创业精神、工匠精神。持续打造“大足锻打刀具创意设计专业赛”等品牌活动，力争连续三年纳入中国创新创业大赛范围。积极组织创新创业者、企业家、投资人和专家学者等共同参与创新创业沙龙、创新创业大讲堂等活动，宣讲创新创业政策，吸引各地人才创新创业。</w:t>
      </w:r>
    </w:p>
    <w:bookmarkEnd w:id="42"/>
    <w:bookmarkEnd w:id="43"/>
    <w:bookmarkEnd w:id="44"/>
    <w:p>
      <w:pPr>
        <w:widowControl/>
        <w:spacing w:line="594" w:lineRule="exact"/>
        <w:ind w:firstLine="640" w:firstLineChars="200"/>
        <w:outlineLvl w:val="1"/>
        <w:rPr>
          <w:rFonts w:eastAsia="方正楷体_GBK"/>
          <w:sz w:val="32"/>
          <w:szCs w:val="32"/>
        </w:rPr>
      </w:pPr>
      <w:bookmarkStart w:id="47" w:name="_Toc106013351"/>
      <w:r>
        <w:rPr>
          <w:rFonts w:eastAsia="方正楷体_GBK"/>
          <w:sz w:val="32"/>
          <w:szCs w:val="32"/>
        </w:rPr>
        <w:t>（二）实施市场主体倍增工程</w:t>
      </w:r>
      <w:bookmarkEnd w:id="47"/>
    </w:p>
    <w:p>
      <w:pPr>
        <w:spacing w:line="594" w:lineRule="exact"/>
        <w:ind w:firstLine="640" w:firstLineChars="200"/>
        <w:rPr>
          <w:rFonts w:eastAsia="方正仿宋_GBK"/>
          <w:kern w:val="0"/>
          <w:sz w:val="32"/>
          <w:szCs w:val="32"/>
        </w:rPr>
      </w:pPr>
      <w:r>
        <w:rPr>
          <w:rFonts w:eastAsia="方正仿宋_GBK"/>
          <w:kern w:val="0"/>
          <w:sz w:val="32"/>
          <w:szCs w:val="32"/>
        </w:rPr>
        <w:t>立足大足产业基础，着力外引内培，加大精准服务力度，推进骨干企业做大做强、中小企业提质增效、大中小企业融通发展，努力形成大企业顶天立地、中小企业铺天盖地的良好局面。</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1.推进招商引资提质增效</w:t>
      </w:r>
    </w:p>
    <w:p>
      <w:pPr>
        <w:spacing w:line="594" w:lineRule="exact"/>
        <w:ind w:firstLine="640" w:firstLineChars="200"/>
        <w:rPr>
          <w:rFonts w:eastAsia="方正仿宋_GBK"/>
          <w:kern w:val="0"/>
          <w:sz w:val="32"/>
          <w:szCs w:val="32"/>
        </w:rPr>
      </w:pPr>
      <w:r>
        <w:rPr>
          <w:rFonts w:eastAsia="方正仿宋_GBK"/>
          <w:kern w:val="0"/>
          <w:sz w:val="32"/>
          <w:szCs w:val="32"/>
        </w:rPr>
        <w:t>加大招商引资力度，</w:t>
      </w:r>
      <w:r>
        <w:rPr>
          <w:rFonts w:eastAsia="方正仿宋_GBK"/>
          <w:sz w:val="32"/>
          <w:szCs w:val="32"/>
        </w:rPr>
        <w:t>坚持把招商引资作为经济发展的头等大事、头号工程，着力提升签约率、落地率、资金到位率</w:t>
      </w:r>
      <w:r>
        <w:rPr>
          <w:rFonts w:eastAsia="方正仿宋_GBK"/>
          <w:kern w:val="0"/>
          <w:sz w:val="32"/>
          <w:szCs w:val="32"/>
        </w:rPr>
        <w:t>。开展产业链招商，设立重点产业招商基金，瞄准“三类500强”、行业龙头，加快引进一批技术含量高、市场前景广、辐射带动性强的大项目、好项目。创新招商方式，开展以商招商、以情招商、商会招商、基金招商、中介招商、区域协作招商等，突出招大招优招强，加速补链建链强链。积极优化存量资源招商，坚持盘活存量与引进增量并重，新洽谈项目优先推介现有闲置厂房，以存量优化带动增量扩张、质量提升。完善招商服务机制，优化招商政策，实行“一链一领导”，强化落地服务、生产服务及需求对接，实现企业从招商到落地生产的全程跟踪，提升招商效率。力争“十四五”期间累计引进项目正式合同额2000亿元，实际到位资金600亿元。</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2．强化龙头骨干企业培育</w:t>
      </w:r>
    </w:p>
    <w:p>
      <w:pPr>
        <w:spacing w:line="594" w:lineRule="exact"/>
        <w:ind w:firstLine="640" w:firstLineChars="200"/>
        <w:rPr>
          <w:rFonts w:eastAsia="方正仿宋_GBK"/>
          <w:kern w:val="0"/>
          <w:sz w:val="32"/>
          <w:szCs w:val="32"/>
        </w:rPr>
      </w:pPr>
      <w:r>
        <w:rPr>
          <w:rFonts w:eastAsia="方正仿宋_GBK"/>
          <w:bCs/>
          <w:sz w:val="32"/>
          <w:szCs w:val="32"/>
        </w:rPr>
        <w:t>进一步加大企业上市辅导培育力度，加快盛泰光电上市步伐，</w:t>
      </w:r>
      <w:r>
        <w:rPr>
          <w:rFonts w:eastAsia="方正仿宋_GBK"/>
          <w:sz w:val="32"/>
          <w:szCs w:val="32"/>
          <w:shd w:val="clear" w:color="auto" w:fill="FFFFFF"/>
        </w:rPr>
        <w:t>充实拟上市企业后备资源库，</w:t>
      </w:r>
      <w:r>
        <w:rPr>
          <w:rFonts w:eastAsia="方正仿宋_GBK"/>
          <w:bCs/>
          <w:sz w:val="32"/>
          <w:szCs w:val="32"/>
          <w:lang w:val="zh-CN"/>
        </w:rPr>
        <w:t>争取将</w:t>
      </w:r>
      <w:r>
        <w:rPr>
          <w:rFonts w:eastAsia="方正仿宋_GBK"/>
          <w:bCs/>
          <w:sz w:val="32"/>
          <w:szCs w:val="32"/>
        </w:rPr>
        <w:t>更多</w:t>
      </w:r>
      <w:r>
        <w:rPr>
          <w:rFonts w:eastAsia="方正仿宋_GBK"/>
          <w:bCs/>
          <w:sz w:val="32"/>
          <w:szCs w:val="32"/>
          <w:lang w:val="zh-CN"/>
        </w:rPr>
        <w:t>企业纳入</w:t>
      </w:r>
      <w:r>
        <w:rPr>
          <w:rFonts w:eastAsia="方正仿宋_GBK"/>
          <w:bCs/>
          <w:sz w:val="32"/>
          <w:szCs w:val="32"/>
        </w:rPr>
        <w:t>重庆市上市企业</w:t>
      </w:r>
      <w:r>
        <w:rPr>
          <w:rFonts w:eastAsia="方正仿宋_GBK"/>
          <w:bCs/>
          <w:sz w:val="32"/>
          <w:szCs w:val="32"/>
          <w:lang w:val="zh-CN"/>
        </w:rPr>
        <w:t>培育库。</w:t>
      </w:r>
      <w:r>
        <w:rPr>
          <w:rFonts w:eastAsia="方正仿宋_GBK"/>
          <w:sz w:val="32"/>
          <w:szCs w:val="32"/>
        </w:rPr>
        <w:t>支持企业做强做优做大，优化企业兼并重组环境，提高规模化、集约化经营水平。</w:t>
      </w:r>
      <w:r>
        <w:rPr>
          <w:rFonts w:eastAsia="方正仿宋_GBK"/>
          <w:kern w:val="0"/>
          <w:sz w:val="32"/>
          <w:szCs w:val="32"/>
        </w:rPr>
        <w:t>加大“链主”“头雁”企业扶持力度，以提升“链主”“头雁”企业市场竞争力、行业带动力为目的，采取“一企一策”“连续支持”等方式，加快培育一批市场占有率高、自主创新能力强、辐射带动面广、国内外影响力大、处于行业领先地位的制造业领军企业。强化骨干企业培育，建立完善企业动态培育库，支持骨干企业通过兼并重组、开展合资合作等方式快速做大做强，鼓励骨干企业加快科技创新、管理创新、产品创新和商业模式创新，发挥骨干企业对产业链的聚焦带动作用。到2025年，力争培育百亿级企业3家、10亿级企业20家、上市企业3家。</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3．推动中小企业量质提升</w:t>
      </w:r>
    </w:p>
    <w:p>
      <w:pPr>
        <w:spacing w:line="594" w:lineRule="exact"/>
        <w:ind w:firstLine="640" w:firstLineChars="200"/>
        <w:rPr>
          <w:rFonts w:eastAsia="方正仿宋_GBK"/>
          <w:kern w:val="0"/>
          <w:sz w:val="32"/>
          <w:szCs w:val="32"/>
        </w:rPr>
      </w:pPr>
      <w:r>
        <w:rPr>
          <w:rFonts w:eastAsia="方正仿宋_GBK"/>
          <w:kern w:val="0"/>
          <w:sz w:val="32"/>
          <w:szCs w:val="32"/>
        </w:rPr>
        <w:t>建立健全中小微企业梯度培育机制，推动五金、汽摩、石雕石刻等产业市场主体“个转企”“微升小”“小升规”，建立中小企业升规培育库，通过入库培育、运行监测、精准服务、政策扶持，帮助中小企业发展壮大。推动中小企业转型升级，鼓励中小企业深耕细分市场，对标细分领域国内国际头部企业，加快同品类、同规格替代升级产品的开发及推广应用，培育一批专注于细分市场、聚焦主业、创新能力强、成长性好的专精特新“小巨人”企业。强化中小企业服务，落实中小企业普惠政策，充分发挥中小企业公共服务平台和资本支持作用，为有潜力、有技术、有市场的中小微企业提供债务融资、股权融资、技术培训、信息服务、市场拓展等优质高效精准服务。到2025年，新增规上企业100家，市级及以上“隐形冠军”“小巨人”“专精特新”企业累计达到45家以上。</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4．促进大中小企业融通发展</w:t>
      </w:r>
    </w:p>
    <w:p>
      <w:pPr>
        <w:spacing w:line="594" w:lineRule="exact"/>
        <w:ind w:firstLine="640" w:firstLineChars="200"/>
        <w:rPr>
          <w:rFonts w:eastAsia="方正仿宋_GBK"/>
          <w:kern w:val="0"/>
          <w:sz w:val="32"/>
          <w:szCs w:val="32"/>
        </w:rPr>
      </w:pPr>
      <w:r>
        <w:rPr>
          <w:rFonts w:eastAsia="方正仿宋_GBK"/>
          <w:kern w:val="0"/>
          <w:sz w:val="32"/>
          <w:szCs w:val="32"/>
        </w:rPr>
        <w:t>推动“链主”“头雁”企业进一步树立与产业链、供应链上下游企业利益共享、风险共担责任意识，通过行业协会、产业联盟等方式，在技术攻关、产品配套、品牌渠道、资金融通等方面，带动关联度高、协同性强的中小企业进入产业链、供应链、创新链。推动中小企业通过参与产业合作联盟、承接服务外包和订单生产等多种方式与大型企业建立长期稳定合作关系，持续畅通产业循环、市场循环，促进形成具有更高效率、更低成本的现代产业体系。</w:t>
      </w:r>
    </w:p>
    <w:p>
      <w:pPr>
        <w:widowControl/>
        <w:spacing w:line="594" w:lineRule="exact"/>
        <w:ind w:firstLine="640" w:firstLineChars="200"/>
        <w:outlineLvl w:val="1"/>
        <w:rPr>
          <w:rFonts w:eastAsia="方正楷体_GBK"/>
          <w:sz w:val="32"/>
          <w:szCs w:val="32"/>
        </w:rPr>
      </w:pPr>
      <w:bookmarkStart w:id="48" w:name="_Toc106013352"/>
      <w:r>
        <w:rPr>
          <w:rFonts w:eastAsia="方正楷体_GBK"/>
          <w:sz w:val="32"/>
          <w:szCs w:val="32"/>
        </w:rPr>
        <w:t>（三）实施质量品牌建设工程</w:t>
      </w:r>
      <w:bookmarkEnd w:id="48"/>
    </w:p>
    <w:p>
      <w:pPr>
        <w:spacing w:line="594" w:lineRule="exact"/>
        <w:ind w:firstLine="640" w:firstLineChars="200"/>
        <w:rPr>
          <w:rFonts w:eastAsia="方正仿宋_GBK"/>
          <w:kern w:val="0"/>
          <w:sz w:val="32"/>
          <w:szCs w:val="32"/>
        </w:rPr>
      </w:pPr>
      <w:r>
        <w:rPr>
          <w:rFonts w:eastAsia="方正仿宋_GBK"/>
          <w:kern w:val="0"/>
          <w:sz w:val="32"/>
          <w:szCs w:val="32"/>
        </w:rPr>
        <w:t>深入开展“增品种、提品质、创品牌”行动，</w:t>
      </w:r>
      <w:r>
        <w:rPr>
          <w:rFonts w:eastAsia="方正仿宋_GBK"/>
          <w:sz w:val="32"/>
          <w:szCs w:val="32"/>
        </w:rPr>
        <w:t>提升产品附加值，促进产品迈向中高端，</w:t>
      </w:r>
      <w:r>
        <w:rPr>
          <w:rFonts w:eastAsia="方正仿宋_GBK"/>
          <w:kern w:val="0"/>
          <w:sz w:val="32"/>
          <w:szCs w:val="32"/>
        </w:rPr>
        <w:t>培育一批质量标杆企业，打造形成一批具有较强竞争力的大足品牌。</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1．开展质量提升行动</w:t>
      </w:r>
    </w:p>
    <w:p>
      <w:pPr>
        <w:spacing w:line="594" w:lineRule="exact"/>
        <w:ind w:firstLine="640" w:firstLineChars="200"/>
        <w:rPr>
          <w:rFonts w:eastAsia="方正仿宋_GBK"/>
          <w:kern w:val="0"/>
          <w:sz w:val="32"/>
          <w:szCs w:val="32"/>
        </w:rPr>
      </w:pPr>
      <w:r>
        <w:rPr>
          <w:rFonts w:eastAsia="方正仿宋_GBK"/>
          <w:kern w:val="0"/>
          <w:sz w:val="32"/>
          <w:szCs w:val="32"/>
        </w:rPr>
        <w:t>加强质量基础能力建设，坚持以企业为质量提升主体，引导企业强化质量管理体系建设，支持大型企业瞄准先进标杆实施技术改造和管理升级，提高全员全过程全方位质量控制水平，以精工细作提升制造品质。引导企业强化质量管理体系建设，普及先进质量管理方法，积极推广整体成型加工、智能化生产、在线检测等先进生产方式和技术，提升产品全生命周期质量保证能力，重点提升五金刀剪、农机、电梯、汽摩零部件、轮胎、摄像头等优势产品性能和质量。发挥各类公共服务平台作用，加大面向中小企业的质量品牌服务供给，支持专业机构加强质量控制和技术评价能力建设。制定园区、行业质量提升计划，鼓励双桥经开区、大足高新区、大足工业园区、石刻文创园以及五金等行业商会积极开展质量兴业、质量比对活动。加强质量诚信体系建设，完善消费者投诉、产品召回等信息共享机制，引导企业加强质量文化建设，落实重大质量事故报告及应急处理、缺陷产品召回、质量损害赔偿等责任义务。未来五年间力争获得市长质量奖或提名奖1-2个。</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2．建立健全标准体系</w:t>
      </w:r>
    </w:p>
    <w:p>
      <w:pPr>
        <w:spacing w:line="594" w:lineRule="exact"/>
        <w:ind w:firstLine="640" w:firstLineChars="200"/>
        <w:rPr>
          <w:rFonts w:eastAsia="方正仿宋_GBK"/>
          <w:kern w:val="0"/>
          <w:sz w:val="32"/>
          <w:szCs w:val="32"/>
        </w:rPr>
      </w:pPr>
      <w:r>
        <w:rPr>
          <w:rFonts w:eastAsia="方正仿宋_GBK"/>
          <w:kern w:val="0"/>
          <w:sz w:val="32"/>
          <w:szCs w:val="32"/>
        </w:rPr>
        <w:t>深入实施“标准化+”战略，建立健全重点行业标准和技术规范，迭代升级大足标准体系。推动领军企业参与国际、国家和行业标准制定（修订），支持建设再生铅等行业规范化示范工厂。实施团体标准培优计划，加快实施应用《手板锯》《钢锹》《民用剪刀》等团体标准，推广“大足锻打刀”等特色产品技术标准，鼓励汽摩、五金等行业协会、商会、产业技术联盟等协调相关市场主体共同制定满足市场和创新需要的标准。推行企业标准“领跑者”制度，支持电梯、汽摩、五金等重点企业制定高于国家、行业、地方标准的具有竞争力的企业标准，全面推动各行业企业瞄准国际先进开展对标达标。五年内力争新增行业标准、团体标准2个。</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3．加大品牌宣传力度</w:t>
      </w:r>
    </w:p>
    <w:p>
      <w:pPr>
        <w:spacing w:line="594" w:lineRule="exact"/>
        <w:ind w:firstLine="640" w:firstLineChars="200"/>
        <w:rPr>
          <w:rFonts w:eastAsia="方正仿宋_GBK"/>
          <w:kern w:val="0"/>
          <w:sz w:val="32"/>
          <w:szCs w:val="32"/>
        </w:rPr>
      </w:pPr>
      <w:r>
        <w:rPr>
          <w:rFonts w:eastAsia="方正仿宋_GBK"/>
          <w:kern w:val="0"/>
          <w:sz w:val="32"/>
          <w:szCs w:val="32"/>
        </w:rPr>
        <w:t>加强品牌强区建设，围绕产业集群和细分行业，打造一批具有较强影响力和大足特色的区域产业品牌，全面唱响“大足制造”品牌。借助“大足石刻”金字招牌，建立以“大足石刻”为代表的一批地区性公共品牌。引导五金企业加大自有品牌建设，培育细分市场优质品牌和名牌产品，探索构建“标识解析+著作版权”的“大足五金”集体商标。加大品牌宣传力度，积极参与智博会、西洽会等重庆重大会展活动品牌成果发布会，办好“国际五金博览会”，发挥新媒体在传播品牌文化、品牌形象中的重要作用，不断提升大足品牌在全市、全国的影响力和竞争力。到2025年，认定市级及以上知名名牌3-5个。</w:t>
      </w:r>
    </w:p>
    <w:p>
      <w:pPr>
        <w:widowControl/>
        <w:spacing w:line="594" w:lineRule="exact"/>
        <w:ind w:firstLine="640" w:firstLineChars="200"/>
        <w:outlineLvl w:val="1"/>
        <w:rPr>
          <w:rFonts w:eastAsia="方正楷体_GBK"/>
          <w:sz w:val="32"/>
          <w:szCs w:val="32"/>
        </w:rPr>
      </w:pPr>
      <w:bookmarkStart w:id="49" w:name="_Toc106013353"/>
      <w:r>
        <w:rPr>
          <w:rFonts w:eastAsia="方正楷体_GBK"/>
          <w:sz w:val="32"/>
          <w:szCs w:val="32"/>
        </w:rPr>
        <w:t>（四）实施产业深度融合工程</w:t>
      </w:r>
      <w:bookmarkEnd w:id="49"/>
    </w:p>
    <w:p>
      <w:pPr>
        <w:spacing w:line="594" w:lineRule="exact"/>
        <w:ind w:firstLine="640" w:firstLineChars="200"/>
        <w:rPr>
          <w:rFonts w:eastAsia="方正仿宋_GBK"/>
          <w:bCs/>
          <w:sz w:val="32"/>
          <w:szCs w:val="32"/>
        </w:rPr>
      </w:pPr>
      <w:r>
        <w:rPr>
          <w:rFonts w:eastAsia="方正仿宋_GBK"/>
          <w:bCs/>
          <w:sz w:val="32"/>
          <w:szCs w:val="32"/>
        </w:rPr>
        <w:t>推动现代服务业和先进制造业深度融合，深化业务关联、链条延伸、技术渗透，不断提升生产性服务业对制造业高质量发展的支撑能力，不断拓展双向发展空间，实现先进制造业与现代服务业价值链深度耦合，推动大足经济高质量发展。</w:t>
      </w:r>
    </w:p>
    <w:bookmarkEnd w:id="45"/>
    <w:bookmarkEnd w:id="46"/>
    <w:p>
      <w:pPr>
        <w:spacing w:line="594" w:lineRule="exact"/>
        <w:ind w:firstLine="643" w:firstLineChars="200"/>
        <w:outlineLvl w:val="2"/>
        <w:rPr>
          <w:rFonts w:eastAsia="方正仿宋_GBK"/>
          <w:b/>
          <w:bCs/>
          <w:kern w:val="0"/>
          <w:sz w:val="32"/>
          <w:szCs w:val="32"/>
        </w:rPr>
      </w:pPr>
      <w:bookmarkStart w:id="50" w:name="_Toc87852623"/>
      <w:bookmarkStart w:id="51" w:name="_Toc87852617"/>
      <w:bookmarkStart w:id="52" w:name="_Toc87852615"/>
      <w:r>
        <w:rPr>
          <w:rFonts w:eastAsia="方正仿宋_GBK"/>
          <w:b/>
          <w:bCs/>
          <w:kern w:val="0"/>
          <w:sz w:val="32"/>
          <w:szCs w:val="32"/>
        </w:rPr>
        <w:t>1．推进工业设计和制造业深度融合</w:t>
      </w:r>
    </w:p>
    <w:p>
      <w:pPr>
        <w:spacing w:line="594" w:lineRule="exact"/>
        <w:ind w:firstLine="640" w:firstLineChars="200"/>
        <w:rPr>
          <w:rFonts w:eastAsia="方正仿宋_GBK"/>
          <w:bCs/>
          <w:sz w:val="32"/>
          <w:szCs w:val="32"/>
        </w:rPr>
      </w:pPr>
      <w:r>
        <w:rPr>
          <w:rFonts w:eastAsia="方正仿宋_GBK"/>
          <w:bCs/>
          <w:sz w:val="32"/>
          <w:szCs w:val="32"/>
        </w:rPr>
        <w:t>围绕工业设计产业链上下游，聚集相关企业和高校，组建配套资源池，以推动五金产业转型升级为突破口，共同实施大足五金产业设计创新“四个一工程”，即：筹建一个五金工业设计研究院、建设一个五金智能设计平台、建立一支五金产业发展基金、培育一批五金企业工业设计中心。着眼大足产业发展的优势和短板，从人才、设计、营销三个方面，精准发力，帮助企业培养设计人才，通过设计赋能，洞察市场需求，整合科技成果，创新孵化产品和服务，并通过品牌营销，实现商业转化的“最后一公里”。争取布局设立“重庆工业设计产业城渝西川东工业设计中心”，积极承接重庆工业设计产业城大足基地项目，整合现有职业教育资源，建立产教融合、校企合作的公司化“工业设计职业学院”，提供设计赋能产业转型升级整体解决方案，为成渝地区双城经济圈建设培养一批设计驱动型人才。培育一批国家级、市级工业设计中心（工业设计研究院），逐步完善工业设计体系，不断提升工业设计能力和自主创新能力。力争5年培育市级工业设计中心（工业设计研究院）10家、区级工业设计中心100家以上。</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2．提升金融服务制造业高质量发展质效</w:t>
      </w:r>
    </w:p>
    <w:p>
      <w:pPr>
        <w:spacing w:line="594" w:lineRule="exact"/>
        <w:ind w:firstLine="640" w:firstLineChars="200"/>
        <w:rPr>
          <w:rFonts w:eastAsia="方正仿宋_GBK"/>
          <w:bCs/>
          <w:sz w:val="32"/>
          <w:szCs w:val="32"/>
        </w:rPr>
      </w:pPr>
      <w:r>
        <w:rPr>
          <w:rFonts w:eastAsia="方正仿宋_GBK"/>
          <w:bCs/>
          <w:sz w:val="32"/>
          <w:szCs w:val="32"/>
        </w:rPr>
        <w:t>强化金融精准对接，发挥好金融资源的杠杆引导作用，促进传统产业改造升级，推动制造业高端化、智能化、绿色化发展，扩大高质量产品供给，培育增长新动能。加大普惠金融、助保贷、转贷应急资金对工业企业支持力度，每年应急转贷不低于2亿元，商业价值信用贷款和知识价值信用贷款规模扩大至3亿元。深化政银企对接，落实制造业中长期贷款、信贷支持政策，不断提高“金融服务港湾”助力企业纾困服务水平，大力推广使用“1+5+N”、“长江渝融通”、“天下大足”智慧金融等线上融资服务平台，前置金融服务提高效率，为企业低成本便利化融资提供服务，缓解企业的融资难题。深化金融创新驱动，加强知识产权质押融资、投贷联动等服务创新，综合运用债券、股权、租赁、基金等多种方式，提高金融供给与科创需求的匹配度，大力支持“卡脖子”关键核心技术的攻关突破。深化金融科技与制造业融合创新，推动数字产业化和产业数字化，以数字化改革引领撬动制造业质量变革、效率变革、动力变革。发力供应链金融，统筹“补短板锻长板”创新供应链金融，增进产业链、创新链、价值链、资金链等多个链条协同发展。引导企业提高利用外资能力，增强国际竞争力。发展绿色金融，积极协调金融机构持续健全绿色金融服务体系，加大绿色企业（项目）培育力度，丰富绿色金融产品，推动绿色金融贷款扩面增量。做好核心企业和全产业链服务，促进信息传导、信用延伸、信贷拓面，推动上中下游、大中小企业融通发展。完善企业上市储备机制和激励政策，提高经济证券化水平，力争到2025年推动3家以上企业上市。</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3．发展第三方中介服务</w:t>
      </w:r>
    </w:p>
    <w:p>
      <w:pPr>
        <w:spacing w:line="594" w:lineRule="exact"/>
        <w:ind w:firstLine="640" w:firstLineChars="200"/>
        <w:rPr>
          <w:rFonts w:eastAsia="方正仿宋_GBK"/>
          <w:bCs/>
          <w:sz w:val="32"/>
          <w:szCs w:val="32"/>
        </w:rPr>
      </w:pPr>
      <w:r>
        <w:rPr>
          <w:rFonts w:eastAsia="方正仿宋_GBK"/>
          <w:bCs/>
          <w:sz w:val="32"/>
          <w:szCs w:val="32"/>
        </w:rPr>
        <w:t>大力发展人力资源、会计、法律、审计、咨询、信用、知识产权等与产业转型升级紧密相关的专业中介服务，构建高层次、多门类的专业中介服务体系。大力发展检验检测服务，培育引进融合分析试验、标准研制、技术研发等多功能检验检测服务机构，鼓励建设公益性检验检测机构和平台，鼓励机构争取多领域资质认证。结合五金检测服务，建设市级五金产业过程检测中心，为五金产业品质提升提供技术支撑。</w:t>
      </w:r>
    </w:p>
    <w:bookmarkEnd w:id="50"/>
    <w:p>
      <w:pPr>
        <w:widowControl/>
        <w:spacing w:line="594" w:lineRule="exact"/>
        <w:ind w:firstLine="640" w:firstLineChars="200"/>
        <w:outlineLvl w:val="1"/>
        <w:rPr>
          <w:rFonts w:eastAsia="方正楷体_GBK"/>
          <w:sz w:val="32"/>
          <w:szCs w:val="32"/>
        </w:rPr>
      </w:pPr>
      <w:bookmarkStart w:id="53" w:name="_Toc106013354"/>
      <w:bookmarkStart w:id="54" w:name="_Toc97749258"/>
      <w:r>
        <w:rPr>
          <w:rFonts w:eastAsia="方正楷体_GBK"/>
          <w:sz w:val="32"/>
          <w:szCs w:val="32"/>
        </w:rPr>
        <w:t>（五）实施工业绿色转型工程</w:t>
      </w:r>
      <w:bookmarkEnd w:id="53"/>
      <w:bookmarkEnd w:id="54"/>
    </w:p>
    <w:p>
      <w:pPr>
        <w:spacing w:line="594" w:lineRule="exact"/>
        <w:ind w:firstLine="640" w:firstLineChars="200"/>
        <w:rPr>
          <w:rFonts w:eastAsia="方正仿宋_GBK"/>
          <w:bCs/>
          <w:sz w:val="32"/>
          <w:szCs w:val="32"/>
        </w:rPr>
      </w:pPr>
      <w:r>
        <w:rPr>
          <w:rFonts w:eastAsia="方正仿宋_GBK"/>
          <w:bCs/>
          <w:sz w:val="32"/>
          <w:szCs w:val="32"/>
        </w:rPr>
        <w:t>落实碳达峰碳中和、能耗“双控”要求，实施工业领域碳达峰行动和绿色制造工程，加强工业领域节能降碳，坚持走“产业生态化、生态产业化”协同发展之路，打造绿色发展新引擎，构建绿色发展新格局，塑造绿色发展新优势，推动产业高端化、智能化、绿色化发展，做强绿色制造业，积极构建绿色产业体系。</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1．推行绿色生产方式</w:t>
      </w:r>
    </w:p>
    <w:p>
      <w:pPr>
        <w:spacing w:line="600" w:lineRule="exact"/>
        <w:ind w:firstLine="640" w:firstLineChars="200"/>
        <w:rPr>
          <w:rFonts w:eastAsia="方正仿宋_GBK"/>
          <w:sz w:val="32"/>
        </w:rPr>
      </w:pPr>
      <w:r>
        <w:rPr>
          <w:rFonts w:eastAsia="方正仿宋_GBK"/>
          <w:sz w:val="32"/>
        </w:rPr>
        <w:t>瞄准能耗“双控”要求，加快产业结构调整步伐，积极构建科技含量高、资源消耗低、环境污染少的产业体系。加快五金、汽摩等传统产业绿色化改造升级，突破一批绿色设计、绿色制造关键共性技术，推动绿色制造设备引进、技术创新及规模化应用，实现传统产业能源消费低碳化转型、生产过程清洁化转型、资源利用循环化转型。加快培育壮大绿色新兴产业，聚焦循环经济、智能网联新能源汽车、新型电子产品、先进材料、节能环保装备等重点领域，推动产业结构优化调整。积极构建绿色企业集群，充分发挥领军企业引领作用、标杆企业示范带动作用，持续优化产业绿色发展生态，优化中小企业绿色发展服务，强化推动园区循环化改造，促进各类市场主体绿色转型。每年实施5个以上绿色化改造重点项目，到2025年，绿色发展体系不断完善，强化绿色、循环、低碳、安全的发展要求，严守准入底线与排放标准，新增国家级绿色园区1个、市级绿色园区1个、国家级绿色工厂3家、市级绿色工厂7家、清洁生产企业30家以上。</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2．实施节能降碳行动</w:t>
      </w:r>
    </w:p>
    <w:p>
      <w:pPr>
        <w:adjustRightInd w:val="0"/>
        <w:snapToGrid w:val="0"/>
        <w:spacing w:line="594" w:lineRule="exact"/>
        <w:ind w:firstLine="640" w:firstLineChars="200"/>
        <w:rPr>
          <w:rFonts w:eastAsia="方正仿宋_GBK"/>
          <w:bCs/>
          <w:sz w:val="32"/>
          <w:szCs w:val="32"/>
          <w:lang w:eastAsia="zh-Hans"/>
        </w:rPr>
      </w:pPr>
      <w:r>
        <w:rPr>
          <w:rFonts w:eastAsia="方正仿宋_GBK"/>
          <w:bCs/>
          <w:sz w:val="32"/>
          <w:szCs w:val="32"/>
          <w:lang w:eastAsia="zh-Hans"/>
        </w:rPr>
        <w:t>遏制“两高一资”项目建设，推动现有企业提升可再生能源应用比例、建设分布式能源中心，持续优化能源消费结构。支持企业</w:t>
      </w:r>
      <w:r>
        <w:rPr>
          <w:rFonts w:eastAsia="方正仿宋_GBK"/>
          <w:bCs/>
          <w:sz w:val="32"/>
          <w:szCs w:val="32"/>
        </w:rPr>
        <w:t>开展</w:t>
      </w:r>
      <w:r>
        <w:rPr>
          <w:rFonts w:eastAsia="方正仿宋_GBK"/>
          <w:bCs/>
          <w:sz w:val="32"/>
          <w:szCs w:val="32"/>
          <w:lang w:eastAsia="zh-Hans"/>
        </w:rPr>
        <w:t>节能技术改造</w:t>
      </w:r>
      <w:r>
        <w:rPr>
          <w:rFonts w:eastAsia="方正仿宋_GBK"/>
          <w:bCs/>
          <w:sz w:val="32"/>
          <w:szCs w:val="32"/>
        </w:rPr>
        <w:t>，</w:t>
      </w:r>
      <w:r>
        <w:rPr>
          <w:rFonts w:eastAsia="方正仿宋_GBK"/>
          <w:sz w:val="32"/>
        </w:rPr>
        <w:t>鼓励支持企业应用节能、节水、减排等先进工艺技术和装备，推广高效冷却、洗涤、循环用水、废污水再生利用、高耗水生产工艺替代等节水工艺和技术，强化工业污染防治。</w:t>
      </w:r>
      <w:r>
        <w:rPr>
          <w:rFonts w:eastAsia="方正仿宋_GBK"/>
          <w:bCs/>
          <w:sz w:val="32"/>
          <w:szCs w:val="32"/>
          <w:lang w:eastAsia="zh-Hans"/>
        </w:rPr>
        <w:t>持续开展节能监察和节能诊断行动，确保</w:t>
      </w:r>
      <w:r>
        <w:rPr>
          <w:rFonts w:eastAsia="方正仿宋_GBK"/>
          <w:bCs/>
          <w:sz w:val="32"/>
          <w:szCs w:val="32"/>
        </w:rPr>
        <w:t>重庆足航钢铁、双钱集团（重庆）轮胎、昶宝电子科技、大足红蝶锶业等</w:t>
      </w:r>
      <w:r>
        <w:rPr>
          <w:rFonts w:eastAsia="方正仿宋_GBK"/>
          <w:bCs/>
          <w:sz w:val="32"/>
          <w:szCs w:val="32"/>
          <w:lang w:eastAsia="zh-Hans"/>
        </w:rPr>
        <w:t>重点企业单位产出能耗持续下降。</w:t>
      </w:r>
      <w:r>
        <w:rPr>
          <w:rFonts w:eastAsia="方正仿宋_GBK"/>
          <w:bCs/>
          <w:sz w:val="32"/>
          <w:szCs w:val="32"/>
        </w:rPr>
        <w:t>强化绿色低碳</w:t>
      </w:r>
      <w:r>
        <w:rPr>
          <w:rFonts w:eastAsia="方正仿宋_GBK"/>
          <w:bCs/>
          <w:sz w:val="32"/>
          <w:szCs w:val="32"/>
          <w:lang w:eastAsia="zh-Hans"/>
        </w:rPr>
        <w:t>科技支撑，引导相关企业实施低碳发展战略，控制生产过程温室气体排放，推动工业碳捕集、利用与封存等工业低碳技术推广应用，确保如期实现碳达峰目标。到2025年，规模以上工业单位增加值能耗下降</w:t>
      </w:r>
      <w:r>
        <w:rPr>
          <w:rFonts w:eastAsia="方正仿宋_GBK"/>
          <w:bCs/>
          <w:sz w:val="32"/>
          <w:szCs w:val="32"/>
        </w:rPr>
        <w:t>14%，</w:t>
      </w:r>
      <w:r>
        <w:rPr>
          <w:rFonts w:eastAsia="方正仿宋_GBK"/>
          <w:bCs/>
          <w:sz w:val="32"/>
          <w:szCs w:val="32"/>
          <w:lang w:eastAsia="zh-Hans"/>
        </w:rPr>
        <w:t>单位</w:t>
      </w:r>
      <w:r>
        <w:rPr>
          <w:rFonts w:eastAsia="方正仿宋_GBK"/>
          <w:bCs/>
          <w:sz w:val="32"/>
          <w:szCs w:val="32"/>
        </w:rPr>
        <w:t>增加值能耗低于0.047吨标煤</w:t>
      </w:r>
      <w:r>
        <w:rPr>
          <w:rFonts w:eastAsia="方正仿宋_GBK"/>
          <w:bCs/>
          <w:sz w:val="32"/>
          <w:szCs w:val="32"/>
          <w:lang w:eastAsia="zh-Hans"/>
        </w:rPr>
        <w:t>。</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3．强化产业准入和落后产能退出</w:t>
      </w:r>
    </w:p>
    <w:p>
      <w:pPr>
        <w:adjustRightInd w:val="0"/>
        <w:snapToGrid w:val="0"/>
        <w:spacing w:line="594" w:lineRule="exact"/>
        <w:ind w:firstLine="640" w:firstLineChars="200"/>
        <w:rPr>
          <w:rFonts w:eastAsia="方正仿宋_GBK"/>
          <w:bCs/>
          <w:sz w:val="32"/>
          <w:szCs w:val="32"/>
          <w:lang w:eastAsia="zh-Hans"/>
        </w:rPr>
      </w:pPr>
      <w:r>
        <w:rPr>
          <w:rFonts w:eastAsia="方正仿宋_GBK"/>
          <w:sz w:val="32"/>
          <w:szCs w:val="32"/>
        </w:rPr>
        <w:t>严格贯彻落实《中华人民共和国长江保护法》，全面执行国家产业准入相关要求，严格落实项目环境保护“三同时”制度，</w:t>
      </w:r>
      <w:r>
        <w:rPr>
          <w:rFonts w:eastAsia="方正仿宋_GBK"/>
          <w:bCs/>
          <w:sz w:val="32"/>
          <w:szCs w:val="32"/>
        </w:rPr>
        <w:t>严格执行《重庆市产业投资准入工作手册》，</w:t>
      </w:r>
      <w:r>
        <w:rPr>
          <w:rFonts w:eastAsia="方正仿宋_GBK"/>
          <w:sz w:val="32"/>
          <w:szCs w:val="32"/>
        </w:rPr>
        <w:t>严控“两高一资”项目建设，</w:t>
      </w:r>
      <w:r>
        <w:rPr>
          <w:rFonts w:eastAsia="方正仿宋_GBK"/>
          <w:bCs/>
          <w:sz w:val="32"/>
          <w:szCs w:val="32"/>
        </w:rPr>
        <w:t>严格实行产业准入和落后产能退出</w:t>
      </w:r>
      <w:r>
        <w:rPr>
          <w:rFonts w:eastAsia="方正仿宋_GBK"/>
          <w:sz w:val="32"/>
          <w:szCs w:val="32"/>
        </w:rPr>
        <w:t>。全面推动“新建项目进园区”，持续引导园外分散企业入园，做好利用综合标准依法依规推动落后产能退出工作，巩固“散乱污”企业处置成果，为优质企业发展腾出更大空间。</w:t>
      </w:r>
    </w:p>
    <w:p>
      <w:pPr>
        <w:widowControl/>
        <w:spacing w:line="594" w:lineRule="exact"/>
        <w:ind w:firstLine="640" w:firstLineChars="200"/>
        <w:outlineLvl w:val="1"/>
        <w:rPr>
          <w:rFonts w:eastAsia="方正楷体_GBK"/>
          <w:sz w:val="32"/>
          <w:szCs w:val="32"/>
        </w:rPr>
      </w:pPr>
      <w:bookmarkStart w:id="55" w:name="_Toc106013355"/>
      <w:r>
        <w:rPr>
          <w:rFonts w:eastAsia="方正楷体_GBK"/>
          <w:sz w:val="32"/>
          <w:szCs w:val="32"/>
        </w:rPr>
        <w:t>（六）实施大数据智能化工程</w:t>
      </w:r>
      <w:bookmarkEnd w:id="55"/>
    </w:p>
    <w:p>
      <w:pPr>
        <w:spacing w:line="594" w:lineRule="exact"/>
        <w:ind w:firstLine="640" w:firstLineChars="200"/>
        <w:rPr>
          <w:rFonts w:eastAsia="方正仿宋_GBK"/>
          <w:kern w:val="0"/>
          <w:sz w:val="32"/>
          <w:szCs w:val="32"/>
        </w:rPr>
      </w:pPr>
      <w:r>
        <w:rPr>
          <w:rFonts w:eastAsia="方正仿宋_GBK"/>
          <w:kern w:val="0"/>
          <w:sz w:val="32"/>
          <w:szCs w:val="32"/>
        </w:rPr>
        <w:t>坚持数字化发展引领，健全数字规则，深化“云长制”改革，全力攻坚数据“聚通用”，构建“云联数算用”全要素群，打造“住业游乐购”全场景集，建设“智慧名城”，培育数字产业集群，全面提升大数据智能化创新发展水平。</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1．着力推动数据“聚通用”</w:t>
      </w:r>
    </w:p>
    <w:p>
      <w:pPr>
        <w:pStyle w:val="14"/>
        <w:spacing w:line="594" w:lineRule="exact"/>
        <w:ind w:firstLine="640" w:firstLineChars="200"/>
        <w:jc w:val="both"/>
        <w:rPr>
          <w:rFonts w:ascii="Times New Roman" w:hAnsi="Times New Roman" w:eastAsia="方正仿宋_GBK" w:cs="Times New Roman"/>
          <w:bCs/>
          <w:color w:val="auto"/>
          <w:sz w:val="32"/>
          <w:szCs w:val="32"/>
        </w:rPr>
      </w:pPr>
      <w:r>
        <w:rPr>
          <w:rFonts w:ascii="Times New Roman" w:hAnsi="Times New Roman" w:eastAsia="方正仿宋_GBK" w:cs="Times New Roman"/>
          <w:bCs/>
          <w:color w:val="auto"/>
          <w:sz w:val="32"/>
          <w:szCs w:val="32"/>
        </w:rPr>
        <w:t>升级完善信息基础设施。加快布局全域感知的智能终端设施，推进物联应用服务创新，适度超前布局新能源终端和智能电网设施，完善工业互联网网络构架体系，打造物联、数联、智联三位一体新型城域物联专网。逐步提升大数据基础设施水平，推进数据中心、云计算设施建设，重点建设一批公共服务、重点行业和知名企业数据中心，探索跨区域共建共享机制和模式，形成布局合理、连接畅通的一体化数据中心服务能力。推动数据高效聚集，实现数据资源共享。完善全区政务数据共享系统和开放系统，要求各部门自建非涉密系统接入全区政务数据资源共享平台，积极向市级争取本区政务数据回流，建成城市数据资源中心并统一提供数据集中存储、共享、开放、管理等服务。鼓励专业数据采集服务企业与政府部门、企事业单位、用户企业等主体加强合作，建立政府部门引导、市场化运作、多主体协同合作的社会数据采集体系。针对各行业应用场景需求，基于商业化平台开展商业、金融、产业等社会数据采集。保障数据资源安全，参考《重庆市数据安全管理暂行办法》，开展全区年度数据安全监督检查，督促指导区级部门加强数据安全监管，开展企业数据管理能力贯标行动。</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2．全力推进产业数字化转型</w:t>
      </w:r>
    </w:p>
    <w:p>
      <w:pPr>
        <w:pStyle w:val="14"/>
        <w:spacing w:line="594" w:lineRule="exact"/>
        <w:ind w:firstLine="640" w:firstLineChars="200"/>
        <w:jc w:val="both"/>
        <w:rPr>
          <w:rFonts w:ascii="Times New Roman" w:hAnsi="Times New Roman" w:eastAsia="方正仿宋_GBK" w:cs="Times New Roman"/>
          <w:bCs/>
          <w:color w:val="auto"/>
          <w:sz w:val="32"/>
          <w:szCs w:val="32"/>
        </w:rPr>
      </w:pPr>
      <w:r>
        <w:rPr>
          <w:rFonts w:ascii="Times New Roman" w:hAnsi="Times New Roman" w:eastAsia="方正仿宋_GBK" w:cs="Times New Roman"/>
          <w:bCs/>
          <w:color w:val="auto"/>
          <w:sz w:val="32"/>
          <w:szCs w:val="32"/>
        </w:rPr>
        <w:t>加快智能化改造，引导企业拓展“智能+”，加快“机器换人”“设备换芯”“生产换线”步伐，鼓励制造业数字化改造加工中心、生产线，打造一批数字化车间、智能工厂，全面提升制造业数字化生产能力。聚焦企业设备数字化、管理模式数字化，推进产品研发、生产制造、质量检测、经营管理、物流营销各环节数字化改造。开展数字化转型升级行动，深入开展两化融合贯标工作，实施一批可复制、可推广的“5G+工业互联网”“5G+智能制造”国家级、市级示范项目，打造面向全产业链、制造全流程、产品全生命周期管控与互联网融合发展的示范应用标杆工厂。培育制造业新模式新业态，大力发展网络化协同制造，建立网络化制造资源协同平台或工业大数据服务平台，实现信息数据资源交互共享，推动制造企业的设计协同、生产协同、供应链协同。深入开展企业“上云上平台”行动，加强与阿里云、华为云、腾讯云、京东云等云服务商对接合作，</w:t>
      </w:r>
      <w:r>
        <w:rPr>
          <w:rFonts w:ascii="Times New Roman" w:hAnsi="Times New Roman" w:eastAsia="方正仿宋_GBK" w:cs="Times New Roman"/>
          <w:color w:val="auto"/>
          <w:sz w:val="32"/>
          <w:szCs w:val="32"/>
        </w:rPr>
        <w:t>引导支持五金、汽摩、静脉、智能、特色消费品等重点企业建设工业互联网标识解析二级节点，加快标识解析的行业应用</w:t>
      </w:r>
      <w:r>
        <w:rPr>
          <w:rFonts w:ascii="Times New Roman" w:hAnsi="Times New Roman" w:eastAsia="方正仿宋_GBK" w:cs="Times New Roman"/>
          <w:bCs/>
          <w:color w:val="auto"/>
          <w:sz w:val="32"/>
          <w:szCs w:val="32"/>
        </w:rPr>
        <w:t>。建设面向特定行业场景的工业APP，促进企业生产管理关键环节数字化、网络化、智能化升级。每年推进60个以上智能化改造项目，创建1家以上智能制造标杆工厂。到2025年，累计支持300家企业开展机器换人，建成5个智能工厂、25个数字化车间和150条数字化生产线，培育国家两化融合管理体系贯标企业60家以上。</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3．推动数字产业化发展</w:t>
      </w:r>
    </w:p>
    <w:p>
      <w:pPr>
        <w:pStyle w:val="14"/>
        <w:spacing w:line="594" w:lineRule="exact"/>
        <w:ind w:firstLine="640" w:firstLineChars="200"/>
        <w:rPr>
          <w:rFonts w:ascii="Times New Roman" w:hAnsi="Times New Roman" w:eastAsia="方正仿宋_GBK" w:cs="Times New Roman"/>
          <w:color w:val="auto"/>
          <w:sz w:val="32"/>
          <w:szCs w:val="32"/>
        </w:rPr>
      </w:pPr>
      <w:r>
        <w:rPr>
          <w:rFonts w:ascii="Times New Roman" w:hAnsi="Times New Roman" w:eastAsia="方正仿宋_GBK" w:cs="Times New Roman"/>
          <w:bCs/>
          <w:color w:val="auto"/>
          <w:sz w:val="32"/>
          <w:szCs w:val="32"/>
        </w:rPr>
        <w:t>打造“5G+工业互联网”新场景，支持汽车、电子、装备制造、消费品、材料等行业龙头企业深化5G应用，推动5G应用从外围辅助环节向核心生产环节渗透。大力发展互联网平台经济，</w:t>
      </w:r>
      <w:r>
        <w:rPr>
          <w:rFonts w:ascii="Times New Roman" w:hAnsi="Times New Roman" w:eastAsia="方正仿宋_GBK" w:cs="Times New Roman"/>
          <w:color w:val="auto"/>
          <w:sz w:val="32"/>
          <w:szCs w:val="32"/>
        </w:rPr>
        <w:t>打造网红直播基地、电商平台，围绕大足五金、石雕等特色产业，采用“网红直播+短视频+电商”新模式，打造全国知名网红直播基地和电商交易平台，加快建设高端石材区域性专业市场。积极引进三维（3D）打印技术企业与资源，结合网络直播新模式。开展网红直播培训课程，推动创意、推广、培训、代运营、摄影等配套完善的电商产业园生态建设，力争将大足电商产业园打造为国家级电子商务示范园区。</w:t>
      </w:r>
      <w:r>
        <w:rPr>
          <w:rFonts w:ascii="Times New Roman" w:hAnsi="Times New Roman" w:eastAsia="方正仿宋_GBK" w:cs="Times New Roman"/>
          <w:bCs/>
          <w:color w:val="auto"/>
          <w:sz w:val="32"/>
          <w:szCs w:val="32"/>
        </w:rPr>
        <w:t>促进产品研发、生产、营销、配送、售后服务、支付、融资等多个价值链环节整合集成于统一的网络平台中，打造全流程综合性网络服务平台。建设数字经济创新园区，充分整合现有楼宇资源，谋划打造数字经济产业园，以培育数字经济产业为主导，运用云计算、大数据、区块链、人工智能、物联网、5G等技术，高标准建设产业生态系统化、基础设施网络化、功能服务精准化和运营发展智能化的创新园区。</w:t>
      </w:r>
      <w:r>
        <w:rPr>
          <w:rFonts w:ascii="Times New Roman" w:hAnsi="Times New Roman" w:eastAsia="方正仿宋_GBK" w:cs="Times New Roman"/>
          <w:color w:val="auto"/>
          <w:sz w:val="32"/>
          <w:szCs w:val="32"/>
        </w:rPr>
        <w:t>探索VR/AR、全息投影、云上等全新会展技术，结合本土产品特色，高标准策划举办高端装备博览会、智慧车展、五金文创博览会。采取线下与线上相结合的方式全面包装宣传营销，鼓励参展企业向数字化、规模化、集团化发展，打造B2B专业展、B2C消费展。大力推动数字文旅融合发展，依托新基建、5G等现代化技术，升级全域旅游数据中心，建立大足智慧文旅中枢。规范大足旅游APP、景区APP、微信公众号等客户终端应用，建好用好“一部手机游大足”旅游服务平台。</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4．着力提升政府智办水平</w:t>
      </w:r>
    </w:p>
    <w:p>
      <w:pPr>
        <w:pStyle w:val="14"/>
        <w:spacing w:line="594" w:lineRule="exact"/>
        <w:ind w:firstLine="640" w:firstLineChars="200"/>
        <w:jc w:val="both"/>
        <w:rPr>
          <w:rFonts w:ascii="Times New Roman" w:hAnsi="Times New Roman" w:eastAsia="方正仿宋_GBK" w:cs="Times New Roman"/>
          <w:bCs/>
          <w:color w:val="auto"/>
          <w:sz w:val="32"/>
          <w:szCs w:val="32"/>
        </w:rPr>
      </w:pPr>
      <w:r>
        <w:rPr>
          <w:rFonts w:ascii="Times New Roman" w:hAnsi="Times New Roman" w:eastAsia="方正仿宋_GBK" w:cs="Times New Roman"/>
          <w:bCs/>
          <w:color w:val="auto"/>
          <w:sz w:val="32"/>
          <w:szCs w:val="32"/>
        </w:rPr>
        <w:t>持续推动系统上云及整合，严格落实“上云为原则、不上云为例外”的原则，充分依托政务云平台开展非涉密信息化项目建设，自建非涉密系统迁云率始终保持100%。有序排查推进“僵尸”信息系统清理关停，探索推进跨部门信息系统整合，切实减少独立信息系统数量。强化提升数字大足云平台，持续完善政务云平台服务目录体系，逐步丰富云资源服务内容，提高云资源易用性和覆盖面。适时开展政务云服务目录价格修订工作，持续降低服务价格。推动新型智慧城市建设功能模块标准化，建立并印发功能模块清单，指导纳入清单管理的信息化项目使用已有的功能模块，实现信息化项目集约建设、高效使用。</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5．全力推进新型智慧城市建设</w:t>
      </w:r>
    </w:p>
    <w:p>
      <w:pPr>
        <w:pStyle w:val="14"/>
        <w:spacing w:line="594" w:lineRule="exact"/>
        <w:ind w:firstLine="640" w:firstLineChars="200"/>
        <w:jc w:val="both"/>
        <w:rPr>
          <w:rFonts w:ascii="Times New Roman" w:hAnsi="Times New Roman" w:eastAsia="方正仿宋_GBK" w:cs="Times New Roman"/>
          <w:bCs/>
          <w:color w:val="auto"/>
          <w:sz w:val="32"/>
          <w:szCs w:val="32"/>
        </w:rPr>
      </w:pPr>
      <w:r>
        <w:rPr>
          <w:rFonts w:ascii="Times New Roman" w:hAnsi="Times New Roman" w:eastAsia="方正仿宋_GBK" w:cs="Times New Roman"/>
          <w:bCs/>
          <w:color w:val="auto"/>
          <w:sz w:val="32"/>
          <w:szCs w:val="32"/>
        </w:rPr>
        <w:t>打造智慧城市重点应用工程。坚持问题导向、重点突破，围绕产业融合重点打造工业互联网平台；围绕民生服务重点建设智慧教育和智慧医疗；围绕城市治理领域重点建设智慧城管、智慧交通、智慧旅游；围绕政府管理重点建设智慧社区；围绕生态宜居重点建设智慧住建、智慧乡村；通过打造各领域亮点应用，丰富“住业游乐购”全场景集，形成示范带动，助推新型智慧城市建设，全面提升大足区大数据智能化应用水平。提档升级新型智慧城市运行管理中心，持续完善“三中心一平台”功能，加快实现“四个一网”目标。加强技术指导、能力支撑、“数据回家”，推动“城市大脑”联动协同、互推共进。</w:t>
      </w:r>
    </w:p>
    <w:bookmarkEnd w:id="51"/>
    <w:bookmarkEnd w:id="52"/>
    <w:p>
      <w:pPr>
        <w:widowControl/>
        <w:spacing w:line="594" w:lineRule="exact"/>
        <w:ind w:firstLine="640" w:firstLineChars="200"/>
        <w:outlineLvl w:val="1"/>
        <w:rPr>
          <w:rFonts w:eastAsia="方正楷体_GBK"/>
          <w:sz w:val="32"/>
          <w:szCs w:val="32"/>
        </w:rPr>
      </w:pPr>
      <w:bookmarkStart w:id="56" w:name="_Toc106013356"/>
      <w:r>
        <w:rPr>
          <w:rFonts w:eastAsia="方正楷体_GBK"/>
          <w:sz w:val="32"/>
          <w:szCs w:val="32"/>
        </w:rPr>
        <w:t>（七）实施产业人才培育工程</w:t>
      </w:r>
      <w:bookmarkEnd w:id="56"/>
    </w:p>
    <w:p>
      <w:pPr>
        <w:spacing w:line="594" w:lineRule="exact"/>
        <w:ind w:firstLine="600" w:firstLineChars="200"/>
        <w:rPr>
          <w:rFonts w:eastAsia="方正仿宋_GBK"/>
          <w:bCs/>
          <w:sz w:val="30"/>
          <w:szCs w:val="30"/>
        </w:rPr>
      </w:pPr>
      <w:r>
        <w:rPr>
          <w:rFonts w:eastAsia="方正仿宋_GBK"/>
          <w:bCs/>
          <w:sz w:val="30"/>
          <w:szCs w:val="30"/>
        </w:rPr>
        <w:t>全面落实大足区科教兴区和人才强区行动计划，围绕重点产业，引育一批“塔尖人才”“塔身人才”“塔基人才”，推进出台专项人才政策，</w:t>
      </w:r>
      <w:r>
        <w:rPr>
          <w:rFonts w:eastAsia="方正仿宋_GBK"/>
          <w:sz w:val="31"/>
          <w:szCs w:val="31"/>
          <w:shd w:val="clear" w:color="auto" w:fill="FFFFFF"/>
        </w:rPr>
        <w:t>最大限度</w:t>
      </w:r>
      <w:r>
        <w:rPr>
          <w:rFonts w:eastAsia="方正仿宋_GBK"/>
          <w:bCs/>
          <w:sz w:val="30"/>
          <w:szCs w:val="30"/>
        </w:rPr>
        <w:t>激发优秀人才创新活力，</w:t>
      </w:r>
      <w:r>
        <w:rPr>
          <w:rFonts w:eastAsia="方正仿宋_GBK"/>
          <w:sz w:val="31"/>
          <w:szCs w:val="31"/>
          <w:shd w:val="clear" w:color="auto" w:fill="FFFFFF"/>
        </w:rPr>
        <w:t>进一步营造“近悦远来”的人才生态。</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1．着力强化“塔尖人才”引进</w:t>
      </w:r>
    </w:p>
    <w:p>
      <w:pPr>
        <w:pStyle w:val="2"/>
        <w:spacing w:line="558" w:lineRule="exact"/>
        <w:ind w:firstLine="640" w:firstLineChars="200"/>
        <w:rPr>
          <w:rFonts w:eastAsia="方正仿宋_GBK"/>
          <w:kern w:val="0"/>
          <w:sz w:val="32"/>
          <w:szCs w:val="32"/>
        </w:rPr>
      </w:pPr>
      <w:r>
        <w:rPr>
          <w:rFonts w:eastAsia="方正仿宋_GBK"/>
          <w:kern w:val="0"/>
          <w:sz w:val="32"/>
          <w:szCs w:val="32"/>
        </w:rPr>
        <w:t>围绕现代五金、智能产业、汽摩配套、静脉产业、石刻文创、数字经济、锶盐等产业的人才需求，制定产业人才图谱，完善产业领军人才、紧缺型人才信息库，通过项目合作、技术开发、科技咨询、技术交流等方式引进“高精尖缺”人才。着力引进国家级和省部级工艺美术大师、知名艺术家等“塔尖人才”，优化大足人才层级。</w:t>
      </w:r>
      <w:r>
        <w:rPr>
          <w:rFonts w:eastAsia="方正仿宋_GBK"/>
          <w:bCs/>
          <w:sz w:val="32"/>
          <w:szCs w:val="32"/>
        </w:rPr>
        <w:t>深化人才管理体制机制改革</w:t>
      </w:r>
      <w:r>
        <w:rPr>
          <w:rFonts w:eastAsia="方正仿宋_GBK"/>
          <w:sz w:val="32"/>
          <w:szCs w:val="32"/>
        </w:rPr>
        <w:t>，提升人才流动、人才评价、人才使用等方面的政策灵活性，针对高端个性化人才，探索建立“一事一议”人才引进绿色通道，出台遴选规则。</w:t>
      </w:r>
      <w:r>
        <w:rPr>
          <w:rFonts w:eastAsia="方正仿宋_GBK"/>
          <w:kern w:val="0"/>
          <w:sz w:val="32"/>
          <w:szCs w:val="32"/>
        </w:rPr>
        <w:t>建立人才利益链接机制，鼓励企业通过技术入股、利润分配等方式引进各类优秀人才。</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2．提升“塔身人才”引培力度</w:t>
      </w:r>
    </w:p>
    <w:p>
      <w:pPr>
        <w:spacing w:line="594" w:lineRule="exact"/>
        <w:ind w:firstLine="640" w:firstLineChars="200"/>
        <w:rPr>
          <w:rFonts w:eastAsia="方正仿宋_GBK"/>
          <w:kern w:val="0"/>
          <w:sz w:val="32"/>
          <w:szCs w:val="32"/>
        </w:rPr>
      </w:pPr>
      <w:r>
        <w:rPr>
          <w:rFonts w:eastAsia="方正仿宋_GBK"/>
          <w:kern w:val="0"/>
          <w:sz w:val="32"/>
          <w:szCs w:val="32"/>
        </w:rPr>
        <w:t>聚焦企业家对企业和地区带动作用，加大力度培育本地企业家，把企业家培训纳入全区人才培训体系，每年联合区委党校开办一次主体培训班，强化企业家综合能力培训，提升企业家生产管理、市场开拓、品牌培育、决策经营能力和水平。搭建企业家交流平台，每月举办企业家沙龙，促进企业家相互学习交流、信息共享。开展优秀企业家、领军企业“杰出人物”评选，弘扬优秀企业家精神，保护企业合法权益。</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3．完善“塔基人才”培育体系</w:t>
      </w:r>
    </w:p>
    <w:p>
      <w:pPr>
        <w:spacing w:line="594" w:lineRule="exact"/>
        <w:ind w:firstLine="640" w:firstLineChars="200"/>
        <w:rPr>
          <w:rFonts w:eastAsia="方正仿宋_GBK"/>
          <w:kern w:val="0"/>
          <w:sz w:val="32"/>
          <w:szCs w:val="32"/>
        </w:rPr>
      </w:pPr>
      <w:r>
        <w:rPr>
          <w:rFonts w:eastAsia="方正仿宋_GBK"/>
          <w:kern w:val="0"/>
          <w:sz w:val="32"/>
          <w:szCs w:val="32"/>
        </w:rPr>
        <w:t>加强人才奖励激励，结合重庆英才、大足英才等评价工作，设置工业企业专业技术人员突出贡献奖励办法并加以实施，激励促进全区工业企业人才队伍持续健康发展。瞄准</w:t>
      </w:r>
      <w:r>
        <w:rPr>
          <w:rFonts w:eastAsia="方正仿宋_GBK"/>
          <w:kern w:val="0"/>
          <w:sz w:val="32"/>
          <w:szCs w:val="32"/>
          <w:lang w:val="zh-CN"/>
        </w:rPr>
        <w:t>行业稀缺专业、技术工种，积极鼓励、引导企业与市内外职业院校强化校企合作，通过签订学生定向就业协议、订单化学员培养等模式，强化高素质产业员工培育。加强对文创人才的培养，依托中国工艺美术协会、中国雕塑家协会等权威机构，多措并举培育一批本土足石刻科研人才、技师、工匠。</w:t>
      </w:r>
      <w:r>
        <w:rPr>
          <w:rFonts w:eastAsia="方正仿宋_GBK"/>
          <w:kern w:val="0"/>
          <w:sz w:val="32"/>
          <w:szCs w:val="32"/>
        </w:rPr>
        <w:t>鼓励行业龙头企业发挥示范带头作用，为本土人才提供现场培训地，分类组织企业相关人员开展理论学习与实地参观学习，以应用场景促进产业人才成长。到2025年，培育本土工匠1000人。</w:t>
      </w:r>
    </w:p>
    <w:p>
      <w:pPr>
        <w:widowControl/>
        <w:spacing w:line="594" w:lineRule="exact"/>
        <w:ind w:firstLine="640" w:firstLineChars="200"/>
        <w:outlineLvl w:val="1"/>
        <w:rPr>
          <w:rFonts w:eastAsia="方正楷体_GBK"/>
          <w:sz w:val="32"/>
          <w:szCs w:val="32"/>
        </w:rPr>
      </w:pPr>
      <w:bookmarkStart w:id="57" w:name="_Toc106013357"/>
      <w:r>
        <w:rPr>
          <w:rFonts w:eastAsia="方正楷体_GBK"/>
          <w:sz w:val="32"/>
          <w:szCs w:val="32"/>
        </w:rPr>
        <w:t>（八）实施区域协同发展工程</w:t>
      </w:r>
      <w:bookmarkEnd w:id="57"/>
    </w:p>
    <w:p>
      <w:pPr>
        <w:spacing w:line="594" w:lineRule="exact"/>
        <w:ind w:firstLine="640" w:firstLineChars="200"/>
        <w:rPr>
          <w:rFonts w:eastAsia="方正仿宋_GBK"/>
          <w:kern w:val="0"/>
          <w:sz w:val="32"/>
          <w:szCs w:val="32"/>
        </w:rPr>
      </w:pPr>
      <w:r>
        <w:rPr>
          <w:rFonts w:eastAsia="方正仿宋_GBK"/>
          <w:kern w:val="0"/>
          <w:sz w:val="32"/>
          <w:szCs w:val="32"/>
        </w:rPr>
        <w:t>抢抓成渝地区双城经济圈建设、全市“一区两群”协调发展等战略机遇，深化产业链供应链融合，坚持“引进来”与“走出去”并重，探索建立开放型经济发展的新体系，加强国际产业对接合作。</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1．深度融入成渝地区双城经济圈建设</w:t>
      </w:r>
    </w:p>
    <w:p>
      <w:pPr>
        <w:spacing w:line="594" w:lineRule="exact"/>
        <w:ind w:firstLine="640" w:firstLineChars="200"/>
        <w:rPr>
          <w:rFonts w:eastAsia="方正仿宋_GBK"/>
          <w:kern w:val="0"/>
          <w:sz w:val="32"/>
          <w:szCs w:val="32"/>
        </w:rPr>
      </w:pPr>
      <w:r>
        <w:rPr>
          <w:rFonts w:eastAsia="方正仿宋_GBK"/>
          <w:kern w:val="0"/>
          <w:sz w:val="32"/>
          <w:szCs w:val="32"/>
        </w:rPr>
        <w:t>整合提升优势产业，加快补齐关键短板，形成特色鲜明、相对完整、安全可靠的区域产业链、供应链。依托五金、汽摩、智能制造产业集群，共建五金智能加工中心、成渝中部汽车产业集聚区、电子核心元器件生产基地、西部领先的智能制造装备基地、节能环保装备产业基地，引领带动周边区（市）静脉产业、文创产业发展，协同打造现代产业体系，共同打造国家级特色产业示范区、文化创意产业园等合作平台。联合自贡、泸州、资阳、内江、宜宾、江津、永川、荣昌、铜梁等共建川南渝西融合发展示范区，协同建设承接产业转移创新发展示范区，打造西部陆海新通道和长江经济带物流枢纽。加强与遂宁、内江、攀枝花等地在专用车及汽车零部件领域的合作；与乐山市、新津区、眉山市等地在光电信息、新型显示、笔电配套、集成电路领域的合作；与川渝院校（院系）合作，助推川渝艺术联盟；加强与成都等地在工业机器人领域合作，聚焦焊接、搬运、喷涂等细分领域，突破中（重）载减速机、控制器、伺服驱动器等关键技术，形成特色化发展优势；与内江市合作，共建成渝绿色农产品基地；结合川渝产业结构和地域特色，发展小型化、轻量化山地农机，研发制造特色经济作物收获机械；加强节能环保领域合作，共建具有全国影响力的节能环保装备产业基地。</w:t>
      </w:r>
      <w:r>
        <w:rPr>
          <w:rFonts w:eastAsia="方正仿宋_GBK"/>
          <w:spacing w:val="-10"/>
          <w:sz w:val="32"/>
          <w:szCs w:val="32"/>
        </w:rPr>
        <w:t>加强与成渝毗邻地区在科技创新平台、技术研发和公共技术服务、产业人才等方面合作，共同建设产业技术研究院、联合实验室、科技企业孵化器、众创空间等创新平台，合作组建产学研联盟等创新组织。深入挖掘区内工业文化价值内涵，传承弘扬工业精神，发挥文化赋能作用，推进川成渝地区制造业智能化、绿色化、人文化发展。</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2．积极融入全市“一区两群”协调发展</w:t>
      </w:r>
    </w:p>
    <w:p>
      <w:pPr>
        <w:spacing w:line="594" w:lineRule="exact"/>
        <w:ind w:firstLine="640" w:firstLineChars="200"/>
        <w:rPr>
          <w:rFonts w:eastAsia="方正仿宋_GBK"/>
          <w:kern w:val="0"/>
          <w:sz w:val="32"/>
          <w:szCs w:val="32"/>
        </w:rPr>
      </w:pPr>
      <w:r>
        <w:rPr>
          <w:rFonts w:eastAsia="方正仿宋_GBK"/>
          <w:kern w:val="0"/>
          <w:sz w:val="32"/>
          <w:szCs w:val="32"/>
        </w:rPr>
        <w:t>抓住大足作为桥头堡城市的历史机遇，增强综合实力和产业竞争力，争当“渝西发展的领头羊”。加大智能装备产业、汽车产业与江津区、永川区、中心城区的协同发展、错位发展，积极承接中心城区电子产业转移，培育大数据智能化产业，全面提升产业发展质量和效益，着力推动产业发展平台提质升级，加快构建具有区域竞争力和带动力的现代化产业体系，努力推动</w:t>
      </w:r>
      <w:bookmarkStart w:id="58" w:name="_Hlk95422111"/>
      <w:r>
        <w:rPr>
          <w:rFonts w:eastAsia="方正仿宋_GBK"/>
          <w:kern w:val="0"/>
          <w:sz w:val="32"/>
          <w:szCs w:val="32"/>
        </w:rPr>
        <w:t>重庆“一区两群”</w:t>
      </w:r>
      <w:bookmarkEnd w:id="58"/>
      <w:r>
        <w:rPr>
          <w:rFonts w:eastAsia="方正仿宋_GBK"/>
          <w:kern w:val="0"/>
          <w:sz w:val="32"/>
          <w:szCs w:val="32"/>
        </w:rPr>
        <w:t>协调发展。加强与重庆高新区、两江新区的重点及优势产业对接，开展产业协同配套研究，紧盯主导产业缺失环节，以补链强链为导向，通过做强配套企业提升基础零部件、基础材料、基础技术、基础软件等产业基础能力，实现大足高新区与重庆科学城（高新区）融合发展，共同打造产业互联生态平台，推进汽摩产业智能化升级。加强与永川智能家居产业、铜梁汽摩配件产业强强联合，推动家居产业智能升级，对传统汽车产业链实施产业集聚发展与创新发展。加强与潼南的对接，重点培育机器人产业，发展控制器和伺服系统、机器人本体环节关键环节零部件机械加工和本体制造领域。加强与铜梁合作共同促进生物医药产业发展，铜梁重点引进发展医疗设备企业，大足重点引进具有开发潜力的预防、诊断重大传染病的新型疫苗和诊断试剂等，支持研发生物类似药、改良药的企业。加强与铜梁、荣昌、潼南共建智能供应链交流平台，努力发展成为连接成渝双城经济圈与世界智造的重要平台，依托区域智能制造发展基底，打造智能硬件创新创业平台，服务物联网领域的创新创业型小微企业乃至个人创客。加强与潼南、荣昌互利合作，着力推进与潼南玉溪石刻、荣昌纸伞等系列文创产品协同发展，共同打造旅游文创产业品牌。</w:t>
      </w:r>
    </w:p>
    <w:p>
      <w:pPr>
        <w:spacing w:line="594" w:lineRule="exact"/>
        <w:ind w:firstLine="643" w:firstLineChars="200"/>
        <w:outlineLvl w:val="2"/>
        <w:rPr>
          <w:rFonts w:eastAsia="方正仿宋_GBK"/>
          <w:b/>
          <w:bCs/>
          <w:kern w:val="0"/>
          <w:sz w:val="32"/>
          <w:szCs w:val="32"/>
        </w:rPr>
      </w:pPr>
      <w:r>
        <w:rPr>
          <w:rFonts w:eastAsia="方正仿宋_GBK"/>
          <w:b/>
          <w:bCs/>
          <w:kern w:val="0"/>
          <w:sz w:val="32"/>
          <w:szCs w:val="32"/>
        </w:rPr>
        <w:t>3．积极争取对外产业联动发展</w:t>
      </w:r>
    </w:p>
    <w:p>
      <w:pPr>
        <w:spacing w:line="594" w:lineRule="exact"/>
        <w:ind w:firstLine="640" w:firstLineChars="200"/>
        <w:rPr>
          <w:rFonts w:eastAsia="方正仿宋_GBK"/>
          <w:kern w:val="0"/>
          <w:sz w:val="32"/>
          <w:szCs w:val="32"/>
        </w:rPr>
      </w:pPr>
      <w:r>
        <w:rPr>
          <w:rFonts w:eastAsia="方正仿宋_GBK"/>
          <w:kern w:val="0"/>
          <w:sz w:val="32"/>
          <w:szCs w:val="32"/>
        </w:rPr>
        <w:t>充分发挥大足川渝协作的重要“窗口”和“门户”作用，主动融入“一带一路”和长江经济带建设，积极接入重庆、成都各类口岸及周边地区开发开放平台，全面提升对外开放能力。积极开展与“一带一路”沿线国家和长江经济带省市以及港澳台、珠三角等区域的交流合作，主动承接东部沿海地区产业转移，探索以保税仓库等模式建立跨行政区域的产业转移和园区合作机制。设立保税物流园区等开放平台，提升对外服务能力。积极创建国家级经开区、国家级高新区，做好功能设计和应用搭配，形成系统完备、协调充分、作用互补的开放平台体系。</w:t>
      </w:r>
    </w:p>
    <w:p>
      <w:pPr>
        <w:widowControl/>
        <w:spacing w:line="594" w:lineRule="exact"/>
        <w:outlineLvl w:val="0"/>
        <w:rPr>
          <w:rFonts w:eastAsia="方正黑体_GBK"/>
          <w:sz w:val="32"/>
          <w:szCs w:val="32"/>
        </w:rPr>
      </w:pPr>
      <w:bookmarkStart w:id="59" w:name="_Toc106013358"/>
      <w:r>
        <w:rPr>
          <w:rFonts w:eastAsia="方正黑体_GBK"/>
          <w:sz w:val="32"/>
          <w:szCs w:val="32"/>
        </w:rPr>
        <w:t>六、保障措施</w:t>
      </w:r>
      <w:bookmarkEnd w:id="59"/>
    </w:p>
    <w:p>
      <w:pPr>
        <w:widowControl/>
        <w:spacing w:line="594" w:lineRule="exact"/>
        <w:ind w:firstLine="640" w:firstLineChars="200"/>
        <w:outlineLvl w:val="1"/>
        <w:rPr>
          <w:rFonts w:eastAsia="方正楷体_GBK"/>
          <w:sz w:val="32"/>
          <w:szCs w:val="32"/>
        </w:rPr>
      </w:pPr>
      <w:bookmarkStart w:id="60" w:name="_Toc106013359"/>
      <w:bookmarkStart w:id="61" w:name="_Toc87852626"/>
      <w:r>
        <w:rPr>
          <w:rFonts w:eastAsia="方正楷体_GBK"/>
          <w:sz w:val="32"/>
          <w:szCs w:val="32"/>
        </w:rPr>
        <w:t>（一）加强组织领导</w:t>
      </w:r>
      <w:bookmarkEnd w:id="60"/>
    </w:p>
    <w:p>
      <w:pPr>
        <w:overflowPunct w:val="0"/>
        <w:spacing w:line="594" w:lineRule="exact"/>
        <w:ind w:firstLine="640" w:firstLineChars="200"/>
        <w:rPr>
          <w:rFonts w:eastAsia="方正仿宋_GBK"/>
          <w:sz w:val="32"/>
          <w:szCs w:val="32"/>
        </w:rPr>
      </w:pPr>
      <w:r>
        <w:rPr>
          <w:rFonts w:eastAsia="方正仿宋_GBK"/>
          <w:sz w:val="32"/>
          <w:szCs w:val="32"/>
        </w:rPr>
        <w:t>全面加强工业和信息化发展工作的领导，完善工业强区工作领导小组工作推进机制，强化</w:t>
      </w:r>
      <w:bookmarkStart w:id="62" w:name="_Hlk105859788"/>
      <w:r>
        <w:rPr>
          <w:rFonts w:eastAsia="方正仿宋_GBK"/>
          <w:sz w:val="32"/>
          <w:szCs w:val="32"/>
        </w:rPr>
        <w:t>领导小组</w:t>
      </w:r>
      <w:bookmarkEnd w:id="62"/>
      <w:r>
        <w:rPr>
          <w:rFonts w:eastAsia="方正仿宋_GBK"/>
          <w:sz w:val="32"/>
          <w:szCs w:val="32"/>
        </w:rPr>
        <w:t>作用，组织统筹工业和信息化发展全面性工作，研究工业经济发展的重大政策、重大项目、重要事项，定期召开领导小组会议，听取重点工作情况汇报，指导督促相关工作任务落实。领导小组办公室充分发挥统筹协调、提供决策参考、强化跟踪督办的作用，逐一落实重点产业链“链长”，切实做好重点产业链招商引资、技术研发、企业培育、供应链保障等工作。区级相关部门要立足职能职责，主动研究提出更多有利于提升全区制造业产业链供应链现代化水平的创新举措，形成部门推进合力，确保各项工作任务落到实处。</w:t>
      </w:r>
    </w:p>
    <w:p>
      <w:pPr>
        <w:widowControl/>
        <w:spacing w:line="594" w:lineRule="exact"/>
        <w:ind w:firstLine="640" w:firstLineChars="200"/>
        <w:outlineLvl w:val="1"/>
        <w:rPr>
          <w:rFonts w:eastAsia="方正楷体_GBK"/>
          <w:sz w:val="32"/>
          <w:szCs w:val="32"/>
        </w:rPr>
      </w:pPr>
      <w:bookmarkStart w:id="63" w:name="_Toc106013360"/>
      <w:r>
        <w:rPr>
          <w:rFonts w:eastAsia="方正楷体_GBK"/>
          <w:sz w:val="32"/>
          <w:szCs w:val="32"/>
        </w:rPr>
        <w:t>（二）做实要素保障</w:t>
      </w:r>
      <w:bookmarkEnd w:id="63"/>
    </w:p>
    <w:p>
      <w:pPr>
        <w:overflowPunct w:val="0"/>
        <w:spacing w:line="594" w:lineRule="exact"/>
        <w:ind w:firstLine="640" w:firstLineChars="200"/>
        <w:rPr>
          <w:rFonts w:eastAsia="方正仿宋_GBK"/>
          <w:sz w:val="32"/>
          <w:szCs w:val="32"/>
        </w:rPr>
      </w:pPr>
      <w:r>
        <w:rPr>
          <w:rFonts w:eastAsia="方正仿宋_GBK"/>
          <w:sz w:val="32"/>
          <w:szCs w:val="32"/>
        </w:rPr>
        <w:t>做好能源供应保障，积极争取川气东输和渝西天然气管网分输阀、综合能源站等重大项目，推进一批高压配电网建设和改造，加快城区老旧燃气管线改造升级，推进电力、燃气综合信息平台建设。强化重大项目用能指标保障，落实节能改造、清洁生产、淘汰落后装备等整改措施，对环境污染大、资源消耗高、技术落后的项目实行一票否决制，腾出能耗总量指标空间。强化用地保障，探索实践园区用地先租后让、租让结合等供地方式，建立重大工业项目用地优先保障机制。及时清理供而未用、低效利用和闲置土地，积极推进退出市场企业土地二次开发利用，盘活园区土地存量资产，适当</w:t>
      </w:r>
      <w:r>
        <w:rPr>
          <w:rFonts w:eastAsia="方正仿宋_GBK"/>
          <w:bCs/>
          <w:sz w:val="32"/>
          <w:szCs w:val="32"/>
        </w:rPr>
        <w:t>提高工业用地价格，提升亩产效益和土地利用效率</w:t>
      </w:r>
      <w:r>
        <w:rPr>
          <w:rFonts w:eastAsia="方正仿宋_GBK"/>
          <w:sz w:val="32"/>
          <w:szCs w:val="32"/>
        </w:rPr>
        <w:t>。持续强化政银企合作，加快供应链金融发展，引导银行加大对重点产业链企业信贷投放力度和支持绿色低碳转型升级，探索提升中小企业融资便利度。</w:t>
      </w:r>
    </w:p>
    <w:p>
      <w:pPr>
        <w:widowControl/>
        <w:spacing w:line="594" w:lineRule="exact"/>
        <w:ind w:firstLine="640" w:firstLineChars="200"/>
        <w:outlineLvl w:val="1"/>
        <w:rPr>
          <w:rFonts w:eastAsia="方正楷体_GBK"/>
          <w:sz w:val="32"/>
          <w:szCs w:val="32"/>
        </w:rPr>
      </w:pPr>
      <w:bookmarkStart w:id="64" w:name="_Toc106013361"/>
      <w:r>
        <w:rPr>
          <w:rFonts w:eastAsia="方正楷体_GBK"/>
          <w:sz w:val="32"/>
          <w:szCs w:val="32"/>
        </w:rPr>
        <w:t>（三）强化项目支撑</w:t>
      </w:r>
      <w:bookmarkEnd w:id="64"/>
    </w:p>
    <w:p>
      <w:pPr>
        <w:overflowPunct w:val="0"/>
        <w:spacing w:line="594" w:lineRule="exact"/>
        <w:ind w:firstLine="640" w:firstLineChars="200"/>
        <w:rPr>
          <w:rFonts w:eastAsia="方正仿宋_GBK"/>
          <w:sz w:val="32"/>
          <w:szCs w:val="32"/>
        </w:rPr>
      </w:pPr>
      <w:r>
        <w:rPr>
          <w:rFonts w:eastAsia="方正仿宋_GBK"/>
          <w:sz w:val="32"/>
          <w:szCs w:val="32"/>
        </w:rPr>
        <w:t>瞄准现代产业体系重点领域和关键环节，结合全区产业发展方向，优先组织实施一批战略性新兴产业示范项目，统筹布局一批传统产业重大支撑项目，强化重大项目对产业转型升级的支撑作用。加强产业项目超前研究和策划，建立健全重大项目储备库，形成“紧盯一批、签约一批、开工一批、投产一批、储备一批”的项目滚动机制。统筹协调规划设计、用地审查、环境影响评价、资金筹措、项目审批核准等前期工作，加快重点项目建设。建立健全投资项目管理制度，抓好重大项目建设用地和资金保障，确保项目顺利推进。建立完善投资项目评价制度，以质量和效益为核心，以单位用地投资、产出、税收、能耗等为主要指标开展项目评价。</w:t>
      </w:r>
    </w:p>
    <w:p>
      <w:pPr>
        <w:widowControl/>
        <w:spacing w:line="594" w:lineRule="exact"/>
        <w:ind w:firstLine="640" w:firstLineChars="200"/>
        <w:outlineLvl w:val="1"/>
        <w:rPr>
          <w:rFonts w:eastAsia="方正楷体_GBK"/>
          <w:sz w:val="32"/>
          <w:szCs w:val="32"/>
        </w:rPr>
      </w:pPr>
      <w:bookmarkStart w:id="65" w:name="_Toc93566420"/>
      <w:bookmarkStart w:id="66" w:name="_Toc106013362"/>
      <w:r>
        <w:rPr>
          <w:rFonts w:eastAsia="方正楷体_GBK"/>
          <w:sz w:val="32"/>
          <w:szCs w:val="32"/>
        </w:rPr>
        <w:t>（四）优化营商环境</w:t>
      </w:r>
      <w:bookmarkEnd w:id="65"/>
      <w:bookmarkEnd w:id="66"/>
    </w:p>
    <w:p>
      <w:pPr>
        <w:overflowPunct w:val="0"/>
        <w:spacing w:line="594" w:lineRule="exact"/>
        <w:ind w:firstLine="640" w:firstLineChars="200"/>
        <w:rPr>
          <w:rFonts w:eastAsia="方正仿宋_GBK"/>
          <w:sz w:val="32"/>
          <w:szCs w:val="32"/>
        </w:rPr>
      </w:pPr>
      <w:r>
        <w:rPr>
          <w:rFonts w:eastAsia="方正仿宋_GBK"/>
          <w:sz w:val="32"/>
          <w:szCs w:val="32"/>
        </w:rPr>
        <w:t>优化政务服务，对标全市营商环境13项考核指标，全力打通政务服务的难点、堵点，持续深化“放管服”改革，做好“不来即享”“免申即享”等服务，大力推进减材料、减环节、减时限、减跑动，加快“互联网+政务服务”体系建设步伐，让企业和群众少跑腿、好办事。强化政策落实，发挥惠企政策“免申即享”平台作用，将“企业找政策”变为“政策找企业”，切实提高政策的“执行率”“知晓率”“到达率”，全面降低税费、融资、物流、要素、制度性管理“五低商务成本”。优化为企服务，大力营造“亲清”政商环境，健全完善领导干部联系企业和服务民营企业机制，持续开展“千名干部帮千企”活动，推行企业办事凭营业执照“一照通办”，推进水电气讯等全流程“一站式”集成服务和帮办服务，深化不动产登记“一窗办理、即办即取”改革、企业“多税合一”申报改革，千方百计为企业纾困解难，推动中小企业茁壮成长、大企业顶天立地。</w:t>
      </w:r>
    </w:p>
    <w:p>
      <w:pPr>
        <w:widowControl/>
        <w:spacing w:line="594" w:lineRule="exact"/>
        <w:ind w:firstLine="640" w:firstLineChars="200"/>
        <w:outlineLvl w:val="1"/>
        <w:rPr>
          <w:rFonts w:eastAsia="方正楷体_GBK"/>
          <w:sz w:val="32"/>
          <w:szCs w:val="32"/>
        </w:rPr>
      </w:pPr>
      <w:bookmarkStart w:id="67" w:name="_Toc106013363"/>
      <w:r>
        <w:rPr>
          <w:rFonts w:eastAsia="方正楷体_GBK"/>
          <w:sz w:val="32"/>
          <w:szCs w:val="32"/>
        </w:rPr>
        <w:t>（五）守牢安全底线</w:t>
      </w:r>
      <w:bookmarkEnd w:id="67"/>
    </w:p>
    <w:bookmarkEnd w:id="61"/>
    <w:p>
      <w:pPr>
        <w:overflowPunct w:val="0"/>
        <w:spacing w:line="594" w:lineRule="exact"/>
        <w:ind w:firstLine="640" w:firstLineChars="200"/>
        <w:rPr>
          <w:rFonts w:eastAsia="方正仿宋_GBK"/>
          <w:sz w:val="32"/>
          <w:szCs w:val="32"/>
        </w:rPr>
        <w:sectPr>
          <w:pgSz w:w="11906" w:h="16838"/>
          <w:pgMar w:top="1985" w:right="1446" w:bottom="1644" w:left="1446" w:header="851" w:footer="992" w:gutter="0"/>
          <w:pgNumType w:fmt="numberInDash"/>
          <w:cols w:space="720" w:num="1"/>
          <w:docGrid w:linePitch="312" w:charSpace="0"/>
        </w:sectPr>
      </w:pPr>
      <w:r>
        <w:rPr>
          <w:rFonts w:eastAsia="方正仿宋_GBK"/>
          <w:sz w:val="32"/>
          <w:szCs w:val="32"/>
        </w:rPr>
        <w:t>贯彻“安全第一，预防为主，综合治理”的方针，强化安全生产管理，严格落实安全设施“三同时”规定。认真落实党政同责、一岗双责以及“三管三必须”要求，用好“十条措施”强化常态化安全监管。压实企业安全生产主体责任，做到安全责任到位、安全投入到位、安全培训到位、安全管理到位、应急救援到位。提高安全生产智能化水平，综合利用“互联网＋”、大数据、物联网、人工智能等高新技术对设备设施、作业过程和作业环境等进行实时、全方位的监测监控、分析诊断、智能化控制，不断提升本质安全水平。推进园区安全生产信息化智能化平台建设，实现对园区内企业、重点场所、重大危险源、基础设施实时风险监控预警。</w:t>
      </w:r>
      <w:bookmarkEnd w:id="39"/>
    </w:p>
    <w:p>
      <w:pPr>
        <w:spacing w:line="600" w:lineRule="exact"/>
        <w:jc w:val="center"/>
        <w:outlineLvl w:val="0"/>
        <w:rPr>
          <w:rFonts w:eastAsia="方正仿宋_GBK"/>
          <w:b/>
          <w:bCs/>
          <w:sz w:val="28"/>
          <w:szCs w:val="21"/>
        </w:rPr>
      </w:pPr>
      <w:bookmarkStart w:id="68" w:name="_Toc106013364"/>
      <w:r>
        <w:rPr>
          <w:rFonts w:eastAsia="方正仿宋_GBK"/>
          <w:b/>
          <w:bCs/>
          <w:sz w:val="28"/>
          <w:szCs w:val="21"/>
        </w:rPr>
        <w:t>附表 大足区工业和信息化“十四五”发展规划重点建设项目表</w:t>
      </w:r>
      <w:bookmarkEnd w:id="68"/>
    </w:p>
    <w:tbl>
      <w:tblPr>
        <w:tblStyle w:val="9"/>
        <w:tblW w:w="92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78"/>
        <w:gridCol w:w="3115"/>
        <w:gridCol w:w="4161"/>
        <w:gridCol w:w="10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311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416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主要建设内容及规模</w:t>
            </w:r>
          </w:p>
        </w:tc>
        <w:tc>
          <w:tcPr>
            <w:tcW w:w="107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总投资（亿元）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bCs/>
                <w:i w:val="0"/>
                <w:iCs w:val="0"/>
                <w:color w:val="000000"/>
                <w:sz w:val="20"/>
                <w:szCs w:val="20"/>
                <w:u w:val="none"/>
              </w:rPr>
            </w:pPr>
          </w:p>
        </w:tc>
        <w:tc>
          <w:tcPr>
            <w:tcW w:w="31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bCs/>
                <w:i w:val="0"/>
                <w:iCs w:val="0"/>
                <w:color w:val="000000"/>
                <w:sz w:val="20"/>
                <w:szCs w:val="20"/>
                <w:u w:val="none"/>
              </w:rPr>
            </w:pPr>
          </w:p>
        </w:tc>
        <w:tc>
          <w:tcPr>
            <w:tcW w:w="41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bCs/>
                <w:i w:val="0"/>
                <w:iCs w:val="0"/>
                <w:color w:val="000000"/>
                <w:sz w:val="20"/>
                <w:szCs w:val="20"/>
                <w:u w:val="none"/>
              </w:rPr>
            </w:pPr>
          </w:p>
        </w:tc>
        <w:tc>
          <w:tcPr>
            <w:tcW w:w="10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399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合计</w:t>
            </w:r>
          </w:p>
        </w:tc>
        <w:tc>
          <w:tcPr>
            <w:tcW w:w="41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b/>
                <w:bCs/>
                <w:i w:val="0"/>
                <w:iCs w:val="0"/>
                <w:color w:val="000000"/>
                <w:sz w:val="20"/>
                <w:szCs w:val="20"/>
                <w:u w:val="none"/>
              </w:rPr>
            </w:pP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728.1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（一）</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双桥经开区</w:t>
            </w:r>
          </w:p>
        </w:tc>
        <w:tc>
          <w:tcPr>
            <w:tcW w:w="41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b/>
                <w:bCs/>
                <w:i w:val="0"/>
                <w:iCs w:val="0"/>
                <w:color w:val="000000"/>
                <w:sz w:val="20"/>
                <w:szCs w:val="20"/>
                <w:u w:val="none"/>
              </w:rPr>
            </w:pP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364.3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比蒙3C/汽车产品研发生产基地</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主要建设笔电、汽车、医疗产品外壳生产基地。</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菜德挂车及商用车厢制造</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为双桥凯瑞特、红专、云河以及大足高新区万新配套半拖挂车和各型专用车厢。</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达汉线路板项目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主要建设双面软板、多层软板、软硬结合板、HDI软硬线路板生产线，年产120万平方米。</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双源强迪机车车架生产</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生产摩托车车架，建设年产30万辆机车车架生产线。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锦安汽车零部件总成生产</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项目主要建设年产50万套汽车发动机管路、100万套刹车系统管路、100万套底盘管路、25万套重卡球头拉杆以及150万套各种冲压件。</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大湾铝基板多单层线路板</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LED铝基板，单多层电源板生产线。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思也其汽车零部件生产加工</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建设厂房约10万平米，从事汽车大梁的生产加工和各类汽车板加工配套，年生产加工能力可达15万吨。</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东憧铝加工研发及应用加工产业园</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铝深加工应用研发中心、建设铝板带柔性切割，铝板钣金加工、铝幕墙板喷涂、铝卷带滚涂、铝板（卷）压花压型、铝制件精密加工、无人机氢燃料储存罐等生产线。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朝航钢结构（装配式建筑）制造</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项目用地1000亩，建设年产100万吨钢结构（装配式建筑）制造项目，一期投资15亿元新购地340亩，建设年产30万吨钢结构（装配式）生产线；二期投资55亿元新购地660亩，建设年产70万吨钢结构生产能力的生产线。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康桥特种车桥总成及零部件项目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建设特种车桥总成生产线。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澳盛汽车塑料配件及民用塑料制品</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建成现代化标准生产厂房，按照最先进的生产工艺，建成高度自动化生产流水线和无人科技化车间生产汽车，摩托车塑料配套产品，民用日用塑料制品和其他相关的塑料制品。</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凯恩机械制造扩产扩能</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新建厂房15559平方米。</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向日葵新型木塑工程建材及制品生产</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新型木塑工程建材生产基地。</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鎏泉GPX品牌机车产业园</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GPX机车产业园，其中先期50亩用地建设年产8万辆GPX品牌机车整车研发、生产、销售基地。</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立可泓名机车整车生产</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年产6万辆越野摩托车整车及零部件研发、生产、销售基地；年产2万台车用电机生产基地。</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布幕机车整车生产</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休闲娱乐机车整车研发、生产、销售基地。</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隆睿汽摩离合器及铝合金配件生产</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机车离合器、汽车机油泵、真空泵等铝合金配件生产线。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南胜五金制品生产</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高级中西餐具、商用厨房用品、家用水槽滤水篮和水槽栅格生产线。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聚腾辉净化设备制造智慧产业园</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建设FFU过滤器生产车间、风淋与货淋室生产车间、实验室通风橱与超净工作台生产车间，研发与产品试验车间。</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吾渝铝合金门窗及幕墙制造</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地块位于中小企业园浩煌家私以北、巨港以南，建设年产30万平方米铝合金门窗及幕墙生产线。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威立雅环境资源服务中心项目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建设页岩气开采和生产过程中产生的污染物（采出水、返排液、钻屑、油基泥浆、落地油泥等）无害处理生产线，新型建材资源再生利用生产线，高端环保移动车，无害化处置设施。</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航鑫铝模板项目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建设年生产500万平米铝制品智能产业园（含研发、设备制造、铝制品深加工）项目，总建筑面积不低于10万平米。</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华新工业固体废弃物资源化综合利用</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水泥窑协调资源化综合利用废弃物项目，其中一般工业废弃物10万吨/年，工业危废物9万吨/年。</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宽威25万吨铜杆拉丝项目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项目占地1000亩，建设年产25万吨连铸连轧生产线、5万吨高铁导线、5万方柔性材料等，主要产品包括8毫米铜线杆、2.6毫米精密铜杆、2.6-0.015毫米精密铜线、电器化铁路架空导线、合金铜精密新材料产品。</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顺博铝灰综合利用</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建设年产60万平米新型环保装配式建筑材料生产线。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华财PVC/PPR管件及管材制造</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项目用地40亩，新建约2.6万平方米的厂房，购置、安装注塑机、管材挤出机、热混搅拌机等行业先进自动化生产设备。形成年产12000万只PVC/PPR管件及5000万米管材生产能力。</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槿沐污泥综合利用</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建设生活污水处理厂污泥综合研发中心及年处理18万吨污泥综合利用项目。</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卓盟再生铝项目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项目用地30亩，建设年产15万吨再生铝锭生产线，建成投产后年销售额达到7亿元。</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瑞开新型材料项目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建设装配大建筑及新型建筑材料,年产20万立方米。</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汽研院二期</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项目二期整体占地面积约2900亩，建设内容为试验道路、智能网联汽车测试区、配套服务区、配套设备设施。</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足航钢铁技改（产能转换）项目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建设1座130t电弧炉，配套建设1座LF精炼炉、预留1座VD真空精炼炉和1台方坯连铸机，同时配备自动化加料装置、废钢预热装置、L1、L2及L3级自动化系统以及完备的余热利用、烟气除尘、处理设施等。</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重汽专用车迁建及升级改造项目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项目共建设5幢（180米*48米）厂房和相关配套用房，总建筑面积约4.5万平方米，引进智能化设备约30台套，建设年产9500辆专用车生产线。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江门信远公司摩托车配件生产项目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摩托车轮毂生产线。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锐尔能公司汽摩线束及电缆生产项目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汽车摩托车线束、电力电缆、汽车摩托车电子产品。</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众合华创汽摩金属制品标准件生产项目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汽摩标准件（六角螺栓，自锁螺母.不锈钢标件摩托车轮轴等1000多种高强度螺栓）生产及销售。</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机电铸造中心收购项目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收购位于双桥经开区的重庆机电集团铸造中心现有厂房、设备等闲置资产，进行发动机缸体铸造。</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原双湖机电市场资产盘活及续建项目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按地块原规划许可指标对天星片区B10-1/01、B11-1/01仓储用地地块（机电市场C地块）项目进行改造、修整，建设成集生产、销售、物流为一体的工业孵化产业园，乙方通过招商引进企业采取出售或出租方式入驻。</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新中天环保产业园深加工项目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建设废节能灯以及液晶背光源等物料无害化处理及资源化综合利用、动力电池及锂电池资源化综合利用系列厂房和装置。</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大周塑胶五金模具生产项目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建设汽车电子五金模具，生活电器生产线。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泓通LED光电产品生产项目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LED光电产品的研发及生产线。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九牛五金办公、教育照明项目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建设办公、教育等照明灯具全自动生产流水线。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利霖欣耳机生产制造、跨境电商产业园项目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建设无线通信耳机生产线、电商孵化园等。</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禧郎LED灯饰生产项目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建设各种LED灯饰生产流水线。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智胜压铸精加工标准件生产项目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建设铝压铸、后加工、喷粉生产线。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废机动车回收拆解项目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建设报废机动车回收拆解线并再利用机动车零部件</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昆山力普公司笔电配套硅胶件生产项目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建设生产笔电、光电硅胶、橡胶零部件设计、生产及服务。</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新能源汽车低压信号线束项目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建设新能源汽车各类线束生产线。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废轮胎绿色生态循环利用项目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建设年处理20万吨废轮胎绿色生态循环利用项目。</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年处理18万吨污泥综合利用项目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建设生活污水处理厂污泥综合利用研发中心及污泥综合利用项目。</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重型汽车智能设备研发及运营项目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从事重型汽车智能设备研发、销售及道路运输。</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汽车线束治工具及设备生产项目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建设生产经营汽车配件连接器、线束组装、治工具自动化生产线。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渝西储配煤基地项目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建设综合性氢能产业园，包括车用动力、军用等各类氢能电源、关键零部件，PEM制氢及加氢等配套设施。</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年处理10万吨废轮胎综合利用项目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建设废轮胎低温裂解生产线。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骏豪公司机车车灯及塑件生产项目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汽车及摩托车照明灯具生产线。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卓飞公司汽摩启动杆及铝合金配件生产项目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机车启动杆、踏板及汽车铝合金配件生产线。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泰诚高精密光学光电半导体设备项目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建设手机镜头全自动无人生产线、车载/安防镜头全自动无人生产线以及手机摄像头模组生产线。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松诺手机器件及光模块生产项目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建设10条自动化手机摄像头马达—VCM生产线和10条5G光模块自动化生产线。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海弘电子产品及模具生产项目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主要生产手机及电子产品主板贴片、5G产品电路板贴片、SMT相关产品。</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重庆思钶工业园项目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一期建成年产240万套汽车制动器衬片全套生产线及其配套设施；二期建成年产600万套汽车制动器衬片全套生产线及其配套设施。</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14万吨工业废弃物综合利用与处置中心项目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建设年处理14万吨工业废弃物综合利用与处置中心项目，包含：一是再生资源利用（废活性炭再生利用、废矿物油再生利用、废包装桶再生利用、废锂电池拆解回收、有价金属提取）； 二是无害化（乳化液处理、酸碱废液处理、含重金属废液处理、含氰废液处理）； 三是废物资源化暂存场；四是废物热处理；五是产学研中心建设。</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年处理15万吨线路板、锂电池、显示屏等废弃物综合利用项目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建筑总面积不低于2万平米车间和配套用房。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年处理10万吨废轮胎综合利用项目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建设年处理10万吨废轮胎综合利用项目。</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重庆瑞得思达锶盐新材料</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工业碳酸锶、电子级碳酸锶、硫磺、锶锰新材料。</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重庆科瑞得稀土高新材料</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稀土锶盐新材料</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重庆元和精细锶盐新材料</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氯化锶、硝酸锶、汽车尾气脱硝催化剂、铝电池专用氧化锶、高纯氢氧化锶</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科瑞得酸酐项目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酸酐</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（二）</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大足高新区</w:t>
            </w:r>
          </w:p>
        </w:tc>
        <w:tc>
          <w:tcPr>
            <w:tcW w:w="41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b/>
                <w:bCs/>
                <w:i w:val="0"/>
                <w:iCs w:val="0"/>
                <w:color w:val="000000"/>
                <w:sz w:val="20"/>
                <w:szCs w:val="20"/>
                <w:u w:val="none"/>
              </w:rPr>
            </w:pP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147.1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台铃新能源电动车产业园项目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电动自行车、电动轻便摩托车、电动车、电动摩托车及摩托车200万台，电动三轮车年产50万台；电机、控制器、充电器产能300万套，车架焊接、喷涂300万套产能。</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金箭科技电动摩托车产业园项目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项目占地200亩，年产电动摩托车、摩托车、三轮车、电动轻便摩托车及电动自行车150万台，车架焊接、喷涂150万套产能。</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富士电梯生产基地扩建项目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年产10000台电梯、扶梯、年产6000台的立体停车设备、物流仓储中心、电梯行业职业鉴定重庆培训鉴定中心、研发大楼及产品展示厅。</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东永电子配套自建项目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EPE成型品（珍珠棉）、瓦愣纸箱印刷以及环保纸塑产品（纸托）。</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光旭汽摩零部件生产项目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项目占地30亩，达产后实现年税收300万元以上，解决用工约120人，年产汽车发动机罩壳80万套、方向机120万套、摩托车轮轴及衬套250万套。</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重庆奔力机械摩擦材料研发生产项目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摩托车橡胶基摩擦片，纸基摩擦片，碟刹鼓刹总成，离合器蹄块。</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通润曳引机电梯配套项目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电梯曳引机研发、生产及销售，项目一期年产10000台，全部达产后年产50000台。</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冠虎机械制造项目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项目占地20亩，建成汽油机、发电机、园林机械设备生产线10余条。</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华锋高端汽摩部件项目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汽车、摩托车刹车系统部件5000万条。</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力源碳素电子项目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研发生产汽车电机用电刷、摩托车启动电机用电刷、家用电器电机用电刷、电动工具用电刷、工业牵引电机用电刷、医疗器械用电刷、智能家居电机用电刷、无人机用电刷、通机电机用电刷及各种刷架组件（含电子元件）等。年产电刷过亿只，各种刷架组件2千多万套。</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伟友新能源电动车配套项目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项目占地35亩，主要生产年产新能源电动车后视镜1900万副。</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金辉电梯配套项目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项目占地25亩，主要从事电梯门机系统及零部件、金属制品、塑料制品、仪器仪表、钢编箱等的制造，销售。 </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施密特扩建项目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电梯、扶梯、别墅电梯、立体车库设备、智能停车系统和电梯配件制造的设计、研发和制造。</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艾铭玛机械生产项目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项目占地36亩，建成微耕机、通用机械、割草机等产品生产线10余条。</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臻展热处理生产线项目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项目占地22亩，主要从事金属热处理加工业务。</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致优新型管道生产项目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项目占地27亩，年产10000吨以上的高分子复合功能管道。</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浙江保利电梯导轨研发生产项目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电梯导轨及井道部件，全部达产后年产10万吨。</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锦升源科技制造项目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项目占地25亩，主要生产汽车前后大灯灯罩、蓄电池外壳、档泥板、仪表盘、中控台、保险杠及其他内饰产品，年产量20万套。</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伟杰新能源电动车配件项目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新能源电动车车架、货架等配件的研发和制造。</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金若TPEP新型环保管道自建项目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衬塑钢管、涂塑钢管、内外涂塑钢管、消防涂塑钢管、涂塑钢质电缆套管、燃气涂塑复合钢管等。</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奇庆汽摩精密零部件生产项目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项目占地30亩，年产摩托车发动机零部件100万套，汽车电枢轴80万套。</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凯钢飞轮生产项目（租赁入驻）</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通用汽油机飞轮,年产量飞轮700万件以上。</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萍亿汽摩配件生产项目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汽车、摩托车标准件、非标准件，摩托车发动机轴，通机拉杆，生产、销售。</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鸿茂精密模具项目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项目占地35亩，建成精密五金模具制造、五金件加工生产线20余条。</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金页精品环保印务项目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项目占地20亩，包装类产品。</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顿功特种设备项目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项目占地27亩，主要从事QTZ250、QTZ200、QTZ160、QTZ125、QTZ100、QTZ80、QTZ63等系列塔式起重机的生产销售。</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铃派高端电摩配套项目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年产120万套各类新能源摩托车注塑件及灯具等各类新能源摩托车配件。</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大环新能源电动车配套项目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工业设计及模具开发、电动车塑料件生产。</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庆瓯新能源电动车配套项目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电动车减震。</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庆迪新能源电动车配套项目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电动车烤漆件及喷涂。</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快联汽配研发制造项目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汽车零部件、摩托车零部件、模具。</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渝联汽配研发制造项目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汽车配件、弹簧、金属杂件、摩托车配件。</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康博特通机研发生产基地项目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通用发动机、割灌机、油锯、绿篱机、草坪机、通用发动机箱体、压铸产品等。</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实创新型钢结构生产项目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年产3.5万吨新型钢结构。</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国威新能源电动车摩托车项目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年产20万辆电动摩托车、10万辆电动三轮车、10万辆大排量摩托车，及40万台套车架和40万套烤漆喷涂。</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欧亚通新能源电动车部件项目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年产新能源电动车主线1000万根、灯具100万套。</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锐进新材料入驻项目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环保型高分子材料、包装材料、纸制品包装等。</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华坤新能源电机项目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年产新能源电机200万套、轮毂300万个。</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中之泰新能源电动车部件项目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年产新能源电动车车架100万套、外观件100万套。</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西洲管道生产项目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钢丝网骨架复合管（年产4000吨）、钢骨架复合管（年产4000吨）。</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银翔三轮摩托车生产项目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三轮车整车油动、电动（年产5万辆），摩托车配件（年产2万台套）。</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尊越汽摩配套入驻项目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汽车摩托车电子件配套生产研发、汽车摩托车线束生产等产品。</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防静电PE膜项目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防静电PE膜。</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隆轩摩托车生产项目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摩托车、摩托车零部件、汽车零部件。</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王滔电梯配套生产项目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电梯滑轨（年产1600吨左右）、电梯配重块（年产1000吨左右）、冷拉钢（年产50000吨）。</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嘉新摩托车制造项目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燃油及电动两轮摩托整车15万辆/年、燃油及电动三轮摩托整车5万辆/年。</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施密特电梯研究院项目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电梯轿厢、门、支架、电梯导轨、操纵箱、配重铁等零部件。</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（三）</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大足工业园区</w:t>
            </w:r>
          </w:p>
        </w:tc>
        <w:tc>
          <w:tcPr>
            <w:tcW w:w="41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b/>
                <w:bCs/>
                <w:i w:val="0"/>
                <w:iCs w:val="0"/>
                <w:color w:val="000000"/>
                <w:sz w:val="20"/>
                <w:szCs w:val="20"/>
                <w:u w:val="none"/>
              </w:rPr>
            </w:pP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146.4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宏优年产3万吨金属制品</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占地40亩，建设年产3万吨安全爬梯、钢板模等金属制品。</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科思迈电子器件生产</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占地35亩，年产50万套扬声器支架配件，汽摩后桥壳、刹车鼓。</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中德五金智能制造产业项目（一期）</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建设用地面积约400亩，其中一、二期建设用地约200亩，三期建设用地约200亩。刀具智能化生产，建设五金一站式智能制造产业服务平台。</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森茂钢丝钢带生产项目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用地60亩，建设年产20万吨钢丝、钢带、钢楸等五金制品生产项目。</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恒洪教学设备生产</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占地30亩，建设教学设备生产线。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炬特开关电源生产项目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占地30亩，建设生产轨道交通、电力系统、消防系统、通信系统的开关电源。</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生旺不锈钢玻璃杯生产项目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用地50亩，建设年产100万个不锈钢杯、玻璃杯生产线。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嘉耀整体家居生产项目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用地120亩，建设年产8万套智能整体家居生产线。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耀和五金刀具智能制造项目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用地50亩，建设年产500万套高中低端刀具智能化生产线。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倍特电动车及配件生产</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电动车配件及整车组装生产线。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中南巨隆航空铝制板生产生产二期</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占地100亩，建航空铝制板生产线。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刘建专用汽车生产项目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用地30亩，建设年产3000辆专用汽车生产线。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和安汽车零部件生产</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占地30亩，转向器、下梁总成、制动器总成系列汽车零部件。</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鼎丰舞台设备生产项目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用地20亩，建设年产音响、舞台设备20万件。</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电动摩托车项目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租用园区企业厂房10000平，建设年产3万台电动车摩托车生产线。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金属制品生产项目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租用园区企业厂房8000平，建设年产3万吨金属制品生产线，主要生产各种型号螺帽。</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五金工具及汽车配件生产项目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建设五金钢锯架、建筑角码、汽车板簧夹子、举升器等五金工具及汽车配件生产线。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五金制品生产项目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购买原贝多机械设备公司厂房约20000平，建设年产3万件建筑五金、日用五金等系列产品。</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新泽西灯饰产业园</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占地200亩，建灯饰产业园，主要生产灯饰及配件产品。</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四叶草LED照明生产</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用地100亩，生产LED、室内外及智能照明、太阳能照明、市政工程照明、夜游景观亮化照明等系列产品。</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富牌收割机及后置旋耕机生产项目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用地100亩，主要生产收割机及后置旋耕机，第一年1000台，最终达到6万台。</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创银数控机床生产项目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用地30亩，建设年产3万套数控机床设备。</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锦众数控机床生产项目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用地30亩，建设年产3万套数控机床设备。</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铭丰铝挡板生产项目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占地30亩，建铝单板生产。</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林伟机械制造生产项目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用地40亩，建设年产20万台微耕机及发电机生产线。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矿山机械及汽车配件生产项目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建设矿山机械及汽车配件生产线。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专用汽车生产项目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建设年产3000辆专用汽车生产线。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电力配件生产项目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年产5万套电力配件生产线。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容合电力器械生产项目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用地20亩，建设年产10万套电力器械及配件生产线。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汽摩零部件生产项目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建设年产5万套摩托车发动机箱体、箱盖、汽车启动机电机。</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汽摩备件生产项目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一期，租用园区标准化厂房（三期）0.8万平方米，二期征地40亩，建设年产汽车发动机进气支管、启动电机屈盖、减震器连接头等700万套汽车配件生产线。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手提焊机生产项目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建设年产20万套手提焊机及通机生产线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数控机床生产项目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建设年产5万套数控机床设备生产线。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数控机床钣金项目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建设年产5万套数控机床钣金生产线。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工业传感器项目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项目分两期建设，其中一期租赁园区四期标准厂房约2000㎡，二期征地30亩，建设年产400万只工业传感器生产线。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电脑一体机项目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建设年产3万套电脑一体机生产线，主要生产液晶显示器、液晶电视电脑一体机、查询机等各种电脑一体机。</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新型建材生产项目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建设年产600万平方米幕墙装饰材料生产线，主要生产铝单板、铝制新材料、节能玻璃、防火玻璃等新型建材。</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高端智能整体家居生产项目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年产5万套智能整体家居生产线。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医药装配设备产业园</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分两期建设，其中一期租赁大足（龙水）工业园区五期标准厂房5号厂房约8000㎡，二期征地50亩,在一期建成投产两年后开始启动二期购地建厂事宜，二期建设周期在12个月内完成。建设年产1000套医药设备生产线。</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（四）</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石刻文创园</w:t>
            </w:r>
          </w:p>
        </w:tc>
        <w:tc>
          <w:tcPr>
            <w:tcW w:w="416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b/>
                <w:bCs/>
                <w:i w:val="0"/>
                <w:iCs w:val="0"/>
                <w:color w:val="000000"/>
                <w:sz w:val="20"/>
                <w:szCs w:val="20"/>
                <w:u w:val="none"/>
              </w:rPr>
            </w:pP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富瑞雕塑与工艺品项目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雕塑与工艺品设计与生产、研发大楼、职工宿舍。</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科得平装配式模块化建筑</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集设计+生产+销售装配式模块化房屋+民宿文创基地。</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莲山雕塑艺术基地</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加工+文创+旅游的雕塑艺术基地。</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琪欣南铝铝艺产业园</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铝艺产品研发中心、展览中心、厂房、职工宿舍。</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精维光缘科技项目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三维打印生产车间、研发中心、研学中心等。</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蜀源雕塑文化项目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雕塑研发中心、生产基地、景观石展销。</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德隆艺术景观石加工项目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景观石、奢石设计、加工、生产，石材再生利用。</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九洲石材加工交易项目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艺术石材、景观石、奢石设计、加工、生产、交易。</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祥瑞奢石加工项目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奢石艺术设计、加工、生产。</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稀培源景观石设计加工项目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异型石材、景观石、设计、生产。</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家居文创产业园</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家居文创产业园及相关配套。一期以石雕石材加工销售为主，二期、三期以家居文创为主。</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3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建发石材再生项目</w:t>
            </w:r>
          </w:p>
        </w:tc>
        <w:tc>
          <w:tcPr>
            <w:tcW w:w="416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石材回收利用自动生产线、研发中心等。</w:t>
            </w:r>
          </w:p>
        </w:tc>
        <w:tc>
          <w:tcPr>
            <w:tcW w:w="10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w:t>
            </w:r>
          </w:p>
        </w:tc>
      </w:tr>
    </w:tbl>
    <w:p>
      <w:pPr>
        <w:pStyle w:val="2"/>
        <w:jc w:val="center"/>
      </w:pPr>
    </w:p>
    <w:p>
      <w:pPr>
        <w:pStyle w:val="2"/>
        <w:rPr>
          <w:rFonts w:hint="eastAsia"/>
          <w:lang w:val="en-US" w:eastAsia="zh-CN"/>
        </w:rPr>
      </w:pPr>
    </w:p>
    <w:p>
      <w:pPr>
        <w:pStyle w:val="2"/>
        <w:rPr>
          <w:rFonts w:hint="eastAsia"/>
        </w:rPr>
      </w:pPr>
    </w:p>
    <w:p>
      <w:pPr>
        <w:pStyle w:val="12"/>
        <w:keepNext w:val="0"/>
        <w:keepLines w:val="0"/>
        <w:pageBreakBefore w:val="0"/>
        <w:widowControl w:val="0"/>
        <w:numPr>
          <w:ilvl w:val="0"/>
          <w:numId w:val="0"/>
        </w:numPr>
        <w:kinsoku/>
        <w:wordWrap/>
        <w:overflowPunct/>
        <w:topLinePunct w:val="0"/>
        <w:autoSpaceDE/>
        <w:autoSpaceDN/>
        <w:bidi w:val="0"/>
        <w:spacing w:line="558" w:lineRule="exact"/>
        <w:textAlignment w:val="auto"/>
        <w:rPr>
          <w:rFonts w:hint="eastAsia"/>
        </w:rPr>
      </w:pPr>
    </w:p>
    <w:p/>
    <w:p>
      <w:pPr>
        <w:rPr>
          <w:rFonts w:hint="eastAsia"/>
          <w:lang w:val="en-US" w:eastAsia="zh-CN"/>
        </w:rPr>
        <w:sectPr>
          <w:pgSz w:w="11906" w:h="16838"/>
          <w:pgMar w:top="1984" w:right="1446" w:bottom="1644" w:left="1446" w:header="851" w:footer="992" w:gutter="0"/>
          <w:pgNumType w:fmt="numberInDash"/>
          <w:cols w:space="425" w:num="1"/>
          <w:docGrid w:type="lines" w:linePitch="312" w:charSpace="0"/>
        </w:sectPr>
      </w:pPr>
    </w:p>
    <w:p>
      <w:pPr>
        <w:ind w:left="0" w:leftChars="0" w:firstLine="0" w:firstLineChars="0"/>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楷体_GBK">
    <w:panose1 w:val="03000509000000000000"/>
    <w:charset w:val="86"/>
    <w:family w:val="auto"/>
    <w:pitch w:val="default"/>
    <w:sig w:usb0="00000001" w:usb1="080E0000" w:usb2="00000000" w:usb3="00000000" w:csb0="00040000" w:csb1="00000000"/>
  </w:font>
  <w:font w:name="方正书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宋体" w:hAnsi="宋体"/>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3</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3</w:t>
                    </w:r>
                    <w:r>
                      <w:rPr>
                        <w:rFonts w:hint="eastAsia"/>
                        <w:sz w:val="28"/>
                        <w:szCs w:val="28"/>
                        <w:lang w:eastAsia="zh-CN"/>
                      </w:rPr>
                      <w:fldChar w:fldCharType="end"/>
                    </w:r>
                  </w:p>
                </w:txbxContent>
              </v:textbox>
            </v:shape>
          </w:pict>
        </mc:Fallback>
      </mc:AlternateContent>
    </w:r>
  </w:p>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宋体" w:hAnsi="宋体"/>
        <w:sz w:val="24"/>
        <w:szCs w:val="24"/>
      </w:rPr>
    </w:pPr>
    <w:r>
      <w:rPr>
        <w:sz w:val="2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jc w:val="center"/>
                          </w:pPr>
                          <w:r>
                            <w:rPr>
                              <w:rFonts w:ascii="宋体" w:hAnsi="宋体"/>
                              <w:sz w:val="24"/>
                              <w:szCs w:val="24"/>
                            </w:rPr>
                            <w:fldChar w:fldCharType="begin"/>
                          </w:r>
                          <w:r>
                            <w:rPr>
                              <w:rFonts w:ascii="宋体" w:hAnsi="宋体"/>
                              <w:sz w:val="24"/>
                              <w:szCs w:val="24"/>
                            </w:rPr>
                            <w:instrText xml:space="preserve">PAGE   \* MERGEFORMAT</w:instrText>
                          </w:r>
                          <w:r>
                            <w:rPr>
                              <w:rFonts w:ascii="宋体" w:hAnsi="宋体"/>
                              <w:sz w:val="24"/>
                              <w:szCs w:val="24"/>
                            </w:rPr>
                            <w:fldChar w:fldCharType="separate"/>
                          </w:r>
                          <w:r>
                            <w:rPr>
                              <w:rFonts w:ascii="宋体" w:hAnsi="宋体"/>
                              <w:sz w:val="24"/>
                              <w:szCs w:val="24"/>
                              <w:lang w:val="zh-CN"/>
                            </w:rPr>
                            <w:t>67</w:t>
                          </w:r>
                          <w:r>
                            <w:rPr>
                              <w:rFonts w:ascii="宋体" w:hAnsi="宋体"/>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4"/>
                      <w:jc w:val="center"/>
                    </w:pPr>
                    <w:r>
                      <w:rPr>
                        <w:rFonts w:ascii="宋体" w:hAnsi="宋体"/>
                        <w:sz w:val="24"/>
                        <w:szCs w:val="24"/>
                      </w:rPr>
                      <w:fldChar w:fldCharType="begin"/>
                    </w:r>
                    <w:r>
                      <w:rPr>
                        <w:rFonts w:ascii="宋体" w:hAnsi="宋体"/>
                        <w:sz w:val="24"/>
                        <w:szCs w:val="24"/>
                      </w:rPr>
                      <w:instrText xml:space="preserve">PAGE   \* MERGEFORMAT</w:instrText>
                    </w:r>
                    <w:r>
                      <w:rPr>
                        <w:rFonts w:ascii="宋体" w:hAnsi="宋体"/>
                        <w:sz w:val="24"/>
                        <w:szCs w:val="24"/>
                      </w:rPr>
                      <w:fldChar w:fldCharType="separate"/>
                    </w:r>
                    <w:r>
                      <w:rPr>
                        <w:rFonts w:ascii="宋体" w:hAnsi="宋体"/>
                        <w:sz w:val="24"/>
                        <w:szCs w:val="24"/>
                        <w:lang w:val="zh-CN"/>
                      </w:rPr>
                      <w:t>67</w:t>
                    </w:r>
                    <w:r>
                      <w:rPr>
                        <w:rFonts w:ascii="宋体" w:hAnsi="宋体"/>
                        <w:sz w:val="24"/>
                        <w:szCs w:val="24"/>
                      </w:rPr>
                      <w:fldChar w:fldCharType="end"/>
                    </w:r>
                  </w:p>
                </w:txbxContent>
              </v:textbox>
            </v:shape>
          </w:pict>
        </mc:Fallback>
      </mc:AlternateContent>
    </w:r>
  </w:p>
  <w:p>
    <w:pPr>
      <w:pStyle w:val="4"/>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宋体" w:hAnsi="宋体"/>
        <w:sz w:val="24"/>
        <w:szCs w:val="24"/>
      </w:rPr>
    </w:pPr>
    <w:r>
      <w:rPr>
        <w:rFonts w:ascii="宋体" w:hAnsi="宋体"/>
        <w:sz w:val="24"/>
        <w:szCs w:val="24"/>
      </w:rPr>
      <w:fldChar w:fldCharType="begin"/>
    </w:r>
    <w:r>
      <w:rPr>
        <w:rFonts w:ascii="宋体" w:hAnsi="宋体"/>
        <w:sz w:val="24"/>
        <w:szCs w:val="24"/>
      </w:rPr>
      <w:instrText xml:space="preserve">PAGE   \* MERGEFORMAT</w:instrText>
    </w:r>
    <w:r>
      <w:rPr>
        <w:rFonts w:ascii="宋体" w:hAnsi="宋体"/>
        <w:sz w:val="24"/>
        <w:szCs w:val="24"/>
      </w:rPr>
      <w:fldChar w:fldCharType="separate"/>
    </w:r>
    <w:r>
      <w:rPr>
        <w:rFonts w:ascii="宋体" w:hAnsi="宋体"/>
        <w:sz w:val="24"/>
        <w:szCs w:val="24"/>
        <w:lang w:val="zh-CN"/>
      </w:rPr>
      <w:t>66</w:t>
    </w:r>
    <w:r>
      <w:rPr>
        <w:rFonts w:ascii="宋体" w:hAnsi="宋体"/>
        <w:sz w:val="24"/>
        <w:szCs w:val="24"/>
      </w:rPr>
      <w:fldChar w:fldCharType="end"/>
    </w:r>
  </w:p>
  <w:p>
    <w:pPr>
      <w:pStyle w:val="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3MTlkNzViOWZhOGRiODU4YzVmZDJiZDc4ZTcxNjEifQ=="/>
  </w:docVars>
  <w:rsids>
    <w:rsidRoot w:val="04390C7E"/>
    <w:rsid w:val="04390C7E"/>
    <w:rsid w:val="35B342A1"/>
    <w:rsid w:val="3D2565D0"/>
    <w:rsid w:val="55FE65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spacing w:before="100"/>
      <w:jc w:val="left"/>
      <w:outlineLvl w:val="0"/>
    </w:pPr>
    <w:rPr>
      <w:rFonts w:ascii="宋体" w:hAnsi="宋体" w:eastAsia="方正黑体_GBK" w:cs="Times New Roman"/>
      <w:snapToGrid w:val="0"/>
      <w:kern w:val="44"/>
      <w:sz w:val="36"/>
      <w:szCs w:val="36"/>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toc 1"/>
    <w:basedOn w:val="1"/>
    <w:next w:val="1"/>
    <w:unhideWhenUsed/>
    <w:qFormat/>
    <w:uiPriority w:val="39"/>
  </w:style>
  <w:style w:type="paragraph" w:styleId="7">
    <w:name w:val="index 7"/>
    <w:basedOn w:val="1"/>
    <w:next w:val="1"/>
    <w:qFormat/>
    <w:uiPriority w:val="0"/>
    <w:pPr>
      <w:ind w:left="2520"/>
    </w:pPr>
    <w:rPr>
      <w:rFonts w:ascii="Times New Roman" w:hAnsi="Times New Roman" w:eastAsia="宋体"/>
      <w:szCs w:val="24"/>
    </w:rPr>
  </w:style>
  <w:style w:type="paragraph" w:styleId="8">
    <w:name w:val="toc 2"/>
    <w:basedOn w:val="1"/>
    <w:next w:val="1"/>
    <w:unhideWhenUsed/>
    <w:qFormat/>
    <w:uiPriority w:val="39"/>
    <w:pPr>
      <w:ind w:left="420" w:leftChars="200"/>
    </w:pPr>
  </w:style>
  <w:style w:type="character" w:styleId="11">
    <w:name w:val="Hyperlink"/>
    <w:unhideWhenUsed/>
    <w:qFormat/>
    <w:uiPriority w:val="99"/>
    <w:rPr>
      <w:color w:val="0563C1"/>
      <w:u w:val="single"/>
    </w:rPr>
  </w:style>
  <w:style w:type="paragraph" w:customStyle="1" w:styleId="12">
    <w:name w:val="正文（缩进）"/>
    <w:basedOn w:val="1"/>
    <w:next w:val="1"/>
    <w:qFormat/>
    <w:uiPriority w:val="0"/>
    <w:pPr>
      <w:spacing w:line="594" w:lineRule="exact"/>
      <w:ind w:firstLine="482"/>
    </w:pPr>
    <w:rPr>
      <w:rFonts w:eastAsia="方正仿宋_GBK"/>
      <w:sz w:val="32"/>
    </w:rPr>
  </w:style>
  <w:style w:type="paragraph" w:customStyle="1" w:styleId="13">
    <w:name w:val="_Style 4"/>
    <w:basedOn w:val="3"/>
    <w:next w:val="1"/>
    <w:qFormat/>
    <w:uiPriority w:val="39"/>
    <w:pPr>
      <w:keepNext/>
      <w:keepLines/>
      <w:widowControl/>
      <w:spacing w:before="240" w:line="259" w:lineRule="auto"/>
      <w:outlineLvl w:val="9"/>
    </w:pPr>
    <w:rPr>
      <w:rFonts w:ascii="等线 Light" w:hAnsi="等线 Light" w:eastAsia="等线 Light" w:cs="Times New Roman"/>
      <w:snapToGrid/>
      <w:color w:val="2F5496"/>
      <w:kern w:val="0"/>
      <w:sz w:val="32"/>
      <w:szCs w:val="32"/>
    </w:rPr>
  </w:style>
  <w:style w:type="paragraph" w:customStyle="1" w:styleId="14">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15">
    <w:name w:val="正文首行缩进1"/>
    <w:basedOn w:val="2"/>
    <w:qFormat/>
    <w:uiPriority w:val="0"/>
    <w:pPr>
      <w:adjustRightInd w:val="0"/>
      <w:spacing w:after="0" w:line="275" w:lineRule="atLeast"/>
      <w:ind w:firstLine="420" w:firstLineChars="50"/>
      <w:textAlignment w:val="baseline"/>
    </w:pPr>
    <w:rPr>
      <w:rFonts w:ascii="Times New Roman" w:hAnsi="Times New Roman" w:eastAsia="楷体_GB2312"/>
      <w:sz w:val="24"/>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81</Pages>
  <Words>44161</Words>
  <Characters>45589</Characters>
  <Lines>0</Lines>
  <Paragraphs>0</Paragraphs>
  <TotalTime>2</TotalTime>
  <ScaleCrop>false</ScaleCrop>
  <LinksUpToDate>false</LinksUpToDate>
  <CharactersWithSpaces>45699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2022-06-13T08:50:00Z</dcterms:created>
  <dc:creator>黎兰</dc:creator>
  <cp:lastModifiedBy>qzuser</cp:lastModifiedBy>
  <dcterms:modified xsi:type="dcterms:W3CDTF">2022-12-09T15:41:11Z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71001118958140C18CACB2E9B2763BD7</vt:lpwstr>
  </property>
</Properties>
</file>