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大足区农村集中居民点规划建设管理办法</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(征求意见稿)</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方正仿宋_GBK" w:hAnsi="方正仿宋_GBK" w:eastAsia="方正仿宋_GBK" w:cs="方正仿宋_GBK"/>
          <w:sz w:val="32"/>
          <w:szCs w:val="32"/>
          <w:lang w:val="en-US" w:eastAsia="zh-CN"/>
        </w:rPr>
      </w:pPr>
    </w:p>
    <w:p>
      <w:pPr>
        <w:keepNext w:val="0"/>
        <w:keepLines w:val="0"/>
        <w:pageBreakBefore w:val="0"/>
        <w:numPr>
          <w:ilvl w:val="0"/>
          <w:numId w:val="1"/>
        </w:numPr>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总 则</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eastAsia="方正仿宋_GBK"/>
          <w:sz w:val="32"/>
          <w:szCs w:val="32"/>
        </w:rPr>
      </w:pPr>
      <w:r>
        <w:rPr>
          <w:rFonts w:hint="eastAsia" w:ascii="方正楷体_GBK" w:hAnsi="方正楷体_GBK" w:eastAsia="方正楷体_GBK" w:cs="方正楷体_GBK"/>
          <w:b w:val="0"/>
          <w:bCs w:val="0"/>
          <w:sz w:val="32"/>
          <w:szCs w:val="32"/>
          <w:lang w:val="en-US" w:eastAsia="zh-CN"/>
        </w:rPr>
        <w:t xml:space="preserve">第一条 </w:t>
      </w:r>
      <w:r>
        <w:rPr>
          <w:rFonts w:hint="eastAsia" w:ascii="方正楷体_GBK" w:hAnsi="方正楷体_GBK" w:eastAsia="方正楷体_GBK" w:cs="方正楷体_GBK"/>
          <w:b/>
          <w:bCs/>
          <w:sz w:val="32"/>
          <w:szCs w:val="32"/>
          <w:lang w:val="en-US" w:eastAsia="zh-CN"/>
        </w:rPr>
        <w:t xml:space="preserve">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【政策依据】</w:t>
      </w:r>
      <w:r>
        <w:rPr>
          <w:rFonts w:eastAsia="方正仿宋_GBK"/>
          <w:sz w:val="32"/>
          <w:szCs w:val="32"/>
        </w:rPr>
        <w:t>为</w:t>
      </w:r>
      <w:r>
        <w:rPr>
          <w:rFonts w:hint="eastAsia" w:eastAsia="方正仿宋_GBK"/>
          <w:sz w:val="32"/>
          <w:szCs w:val="32"/>
          <w:lang w:eastAsia="zh-CN"/>
        </w:rPr>
        <w:t>推进乡村振兴战略，加强农村</w:t>
      </w:r>
      <w:r>
        <w:rPr>
          <w:rFonts w:eastAsia="方正仿宋_GBK"/>
          <w:sz w:val="32"/>
          <w:szCs w:val="32"/>
        </w:rPr>
        <w:t>集体土地上</w:t>
      </w:r>
      <w:r>
        <w:rPr>
          <w:rFonts w:hint="eastAsia" w:eastAsia="方正仿宋_GBK"/>
          <w:sz w:val="32"/>
          <w:szCs w:val="32"/>
          <w:lang w:eastAsia="zh-CN"/>
        </w:rPr>
        <w:t>建设</w:t>
      </w:r>
      <w:r>
        <w:rPr>
          <w:rFonts w:hint="eastAsia" w:eastAsia="方正仿宋_GBK"/>
          <w:sz w:val="32"/>
          <w:szCs w:val="32"/>
          <w:lang w:val="en-US" w:eastAsia="zh-CN"/>
        </w:rPr>
        <w:t>集中</w:t>
      </w:r>
      <w:r>
        <w:rPr>
          <w:rFonts w:eastAsia="方正仿宋_GBK"/>
          <w:sz w:val="32"/>
          <w:szCs w:val="32"/>
        </w:rPr>
        <w:t>居民</w:t>
      </w:r>
      <w:r>
        <w:rPr>
          <w:rFonts w:hint="eastAsia" w:eastAsia="方正仿宋_GBK"/>
          <w:sz w:val="32"/>
          <w:szCs w:val="32"/>
          <w:lang w:eastAsia="zh-CN"/>
        </w:rPr>
        <w:t>点</w:t>
      </w:r>
      <w:r>
        <w:rPr>
          <w:rFonts w:eastAsia="方正仿宋_GBK"/>
          <w:sz w:val="32"/>
          <w:szCs w:val="32"/>
        </w:rPr>
        <w:t>的</w:t>
      </w:r>
      <w:r>
        <w:rPr>
          <w:rFonts w:hint="eastAsia" w:eastAsia="方正仿宋_GBK"/>
          <w:sz w:val="32"/>
          <w:szCs w:val="32"/>
          <w:lang w:eastAsia="zh-CN"/>
        </w:rPr>
        <w:t>规划建设管理工作</w:t>
      </w:r>
      <w:r>
        <w:rPr>
          <w:rFonts w:hint="eastAsia" w:eastAsia="方正仿宋_GBK"/>
          <w:sz w:val="32"/>
          <w:szCs w:val="32"/>
          <w:lang w:val="en-US" w:eastAsia="zh-CN"/>
        </w:rPr>
        <w:t>，</w:t>
      </w:r>
      <w:r>
        <w:rPr>
          <w:rFonts w:eastAsia="方正仿宋_GBK"/>
          <w:sz w:val="32"/>
          <w:szCs w:val="32"/>
        </w:rPr>
        <w:t>根据《中华人民共和国城乡规划法》、《中华人民共和国土地管理法》、《重庆市城乡规划条例》、《重庆市村镇规划建设管</w:t>
      </w:r>
      <w:r>
        <w:rPr>
          <w:rFonts w:hint="eastAsia" w:eastAsia="方正仿宋_GBK"/>
          <w:sz w:val="32"/>
          <w:szCs w:val="32"/>
          <w:lang w:eastAsia="zh-CN"/>
        </w:rPr>
        <w:t>理</w:t>
      </w:r>
      <w:r>
        <w:rPr>
          <w:rFonts w:eastAsia="方正仿宋_GBK"/>
          <w:sz w:val="32"/>
          <w:szCs w:val="32"/>
        </w:rPr>
        <w:t>条例》</w:t>
      </w:r>
      <w:r>
        <w:rPr>
          <w:rFonts w:hint="eastAsia" w:eastAsia="方正仿宋_GBK"/>
          <w:sz w:val="32"/>
          <w:szCs w:val="32"/>
          <w:lang w:eastAsia="zh-CN"/>
        </w:rPr>
        <w:t>、《</w:t>
      </w:r>
      <w:r>
        <w:rPr>
          <w:rFonts w:hint="eastAsia" w:eastAsia="方正仿宋_GBK"/>
          <w:sz w:val="32"/>
          <w:szCs w:val="32"/>
          <w:lang w:val="en-US" w:eastAsia="zh-CN"/>
        </w:rPr>
        <w:t>重庆市集体土地上非农村居民住宅建设规划管理办法</w:t>
      </w:r>
      <w:r>
        <w:rPr>
          <w:rFonts w:hint="eastAsia" w:eastAsia="方正仿宋_GBK"/>
          <w:sz w:val="32"/>
          <w:szCs w:val="32"/>
          <w:lang w:eastAsia="zh-CN"/>
        </w:rPr>
        <w:t>》（</w:t>
      </w:r>
      <w:r>
        <w:rPr>
          <w:rFonts w:hint="eastAsia" w:eastAsia="方正仿宋_GBK"/>
          <w:sz w:val="32"/>
          <w:szCs w:val="32"/>
        </w:rPr>
        <w:t>渝规资规范〔2019〕14号</w:t>
      </w:r>
      <w:r>
        <w:rPr>
          <w:rFonts w:hint="eastAsia" w:eastAsia="方正仿宋_GBK"/>
          <w:sz w:val="32"/>
          <w:szCs w:val="32"/>
          <w:lang w:eastAsia="zh-CN"/>
        </w:rPr>
        <w:t>）</w:t>
      </w:r>
      <w:r>
        <w:rPr>
          <w:rFonts w:eastAsia="方正仿宋_GBK"/>
          <w:sz w:val="32"/>
          <w:szCs w:val="32"/>
        </w:rPr>
        <w:t>等</w:t>
      </w:r>
      <w:r>
        <w:rPr>
          <w:rFonts w:hint="eastAsia" w:eastAsia="方正仿宋_GBK"/>
          <w:sz w:val="32"/>
          <w:szCs w:val="32"/>
          <w:lang w:eastAsia="zh-CN"/>
        </w:rPr>
        <w:t>规定</w:t>
      </w:r>
      <w:r>
        <w:rPr>
          <w:rFonts w:eastAsia="方正仿宋_GBK"/>
          <w:sz w:val="32"/>
          <w:szCs w:val="32"/>
        </w:rPr>
        <w:t>，结合本</w:t>
      </w:r>
      <w:r>
        <w:rPr>
          <w:rFonts w:hint="eastAsia" w:eastAsia="方正仿宋_GBK"/>
          <w:sz w:val="32"/>
          <w:szCs w:val="32"/>
          <w:lang w:eastAsia="zh-CN"/>
        </w:rPr>
        <w:t>区</w:t>
      </w:r>
      <w:r>
        <w:rPr>
          <w:rFonts w:eastAsia="方正仿宋_GBK"/>
          <w:sz w:val="32"/>
          <w:szCs w:val="32"/>
        </w:rPr>
        <w:t>实际，制定本办法。</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方正仿宋_GBK"/>
          <w:sz w:val="32"/>
          <w:szCs w:val="32"/>
          <w:lang w:val="en-US" w:eastAsia="zh-CN"/>
        </w:rPr>
      </w:pPr>
      <w:r>
        <w:rPr>
          <w:rFonts w:hint="eastAsia" w:ascii="方正楷体_GBK" w:hAnsi="方正楷体_GBK" w:eastAsia="方正楷体_GBK" w:cs="方正楷体_GBK"/>
          <w:sz w:val="32"/>
          <w:szCs w:val="32"/>
          <w:lang w:val="en-US" w:eastAsia="zh-CN"/>
        </w:rPr>
        <w:t xml:space="preserve">第二条  </w:t>
      </w:r>
      <w:r>
        <w:rPr>
          <w:rFonts w:hint="eastAsia" w:ascii="方正楷体_GBK" w:hAnsi="方正楷体_GBK" w:eastAsia="方正楷体_GBK" w:cs="方正楷体_GBK"/>
          <w:sz w:val="32"/>
          <w:szCs w:val="32"/>
          <w:lang w:val="en-US" w:eastAsia="zh-CN"/>
          <w14:textFill>
            <w14:gradFill>
              <w14:gsLst>
                <w14:gs w14:pos="0">
                  <w14:srgbClr w14:val="FE4444"/>
                </w14:gs>
                <w14:gs w14:pos="100000">
                  <w14:srgbClr w14:val="832B2B"/>
                </w14:gs>
              </w14:gsLst>
              <w14:lin w14:scaled="0"/>
            </w14:gradFill>
          </w14:textFill>
        </w:rPr>
        <w:t>【适用范围】</w:t>
      </w:r>
      <w:r>
        <w:rPr>
          <w:rFonts w:hint="eastAsia" w:eastAsia="方正仿宋_GBK"/>
          <w:sz w:val="32"/>
          <w:szCs w:val="32"/>
          <w:lang w:val="en-US" w:eastAsia="zh-CN"/>
        </w:rPr>
        <w:t>本办法所称的农村集中居民</w:t>
      </w:r>
      <w:bookmarkStart w:id="0" w:name="_GoBack"/>
      <w:bookmarkEnd w:id="0"/>
      <w:r>
        <w:rPr>
          <w:rFonts w:hint="eastAsia" w:eastAsia="方正仿宋_GBK"/>
          <w:sz w:val="32"/>
          <w:szCs w:val="32"/>
          <w:lang w:val="en-US" w:eastAsia="zh-CN"/>
        </w:rPr>
        <w:t>点建设</w:t>
      </w:r>
      <w:r>
        <w:rPr>
          <w:rFonts w:hint="eastAsia" w:eastAsia="方正仿宋_GBK"/>
          <w:sz w:val="32"/>
          <w:szCs w:val="32"/>
          <w:lang w:eastAsia="zh-CN"/>
        </w:rPr>
        <w:t>（以下简称居民点）</w:t>
      </w:r>
      <w:r>
        <w:rPr>
          <w:rFonts w:hint="eastAsia" w:eastAsia="方正仿宋_GBK"/>
          <w:sz w:val="32"/>
          <w:szCs w:val="32"/>
          <w:lang w:val="en-US" w:eastAsia="zh-CN"/>
        </w:rPr>
        <w:t>，是指符合大足区国土空间规划和村庄规划要求，</w:t>
      </w:r>
      <w:r>
        <w:rPr>
          <w:rFonts w:hint="eastAsia" w:ascii="方正仿宋_GBK" w:hAnsi="方正仿宋_GBK" w:eastAsia="方正仿宋_GBK" w:cs="方正仿宋_GBK"/>
          <w:color w:val="000000"/>
          <w:kern w:val="0"/>
          <w:sz w:val="32"/>
          <w:szCs w:val="32"/>
          <w:u w:val="none" w:color="auto"/>
          <w:shd w:val="clear" w:color="auto" w:fill="FFFFFF"/>
          <w:lang w:bidi="ar"/>
        </w:rPr>
        <w:t>以“小”“微”为主，聚集度以</w:t>
      </w:r>
      <w:r>
        <w:rPr>
          <w:rFonts w:hint="eastAsia" w:ascii="方正仿宋_GBK" w:hAnsi="方正仿宋_GBK" w:eastAsia="方正仿宋_GBK" w:cs="方正仿宋_GBK"/>
          <w:color w:val="000000"/>
          <w:kern w:val="0"/>
          <w:sz w:val="32"/>
          <w:szCs w:val="32"/>
          <w:u w:val="none" w:color="auto"/>
          <w:shd w:val="clear" w:color="auto" w:fill="FFFFFF"/>
          <w:lang w:val="en-US" w:eastAsia="zh-CN" w:bidi="ar"/>
        </w:rPr>
        <w:t>8</w:t>
      </w:r>
      <w:r>
        <w:rPr>
          <w:rFonts w:hint="eastAsia" w:ascii="方正仿宋_GBK" w:hAnsi="方正仿宋_GBK" w:eastAsia="方正仿宋_GBK" w:cs="方正仿宋_GBK"/>
          <w:color w:val="000000"/>
          <w:kern w:val="0"/>
          <w:sz w:val="32"/>
          <w:szCs w:val="32"/>
          <w:u w:val="none" w:color="auto"/>
          <w:shd w:val="clear" w:color="auto" w:fill="FFFFFF"/>
          <w:lang w:bidi="ar"/>
        </w:rPr>
        <w:t>-</w:t>
      </w:r>
      <w:r>
        <w:rPr>
          <w:rFonts w:hint="eastAsia" w:ascii="方正仿宋_GBK" w:hAnsi="方正仿宋_GBK" w:eastAsia="方正仿宋_GBK" w:cs="方正仿宋_GBK"/>
          <w:color w:val="000000"/>
          <w:kern w:val="0"/>
          <w:sz w:val="32"/>
          <w:szCs w:val="32"/>
          <w:u w:val="none" w:color="auto"/>
          <w:shd w:val="clear" w:color="auto" w:fill="FFFFFF"/>
          <w:lang w:val="en-US" w:eastAsia="zh-CN" w:bidi="ar"/>
        </w:rPr>
        <w:t>10</w:t>
      </w:r>
      <w:r>
        <w:rPr>
          <w:rFonts w:hint="eastAsia" w:ascii="方正仿宋_GBK" w:hAnsi="方正仿宋_GBK" w:eastAsia="方正仿宋_GBK" w:cs="方正仿宋_GBK"/>
          <w:color w:val="000000"/>
          <w:kern w:val="0"/>
          <w:sz w:val="32"/>
          <w:szCs w:val="32"/>
          <w:u w:val="none" w:color="auto"/>
          <w:shd w:val="clear" w:color="auto" w:fill="FFFFFF"/>
          <w:lang w:bidi="ar"/>
        </w:rPr>
        <w:t>户为起点，条件具备的可适度扩大</w:t>
      </w:r>
      <w:r>
        <w:rPr>
          <w:rFonts w:hint="eastAsia" w:ascii="方正仿宋_GBK" w:hAnsi="方正仿宋_GBK" w:eastAsia="方正仿宋_GBK" w:cs="方正仿宋_GBK"/>
          <w:color w:val="000000"/>
          <w:kern w:val="0"/>
          <w:sz w:val="32"/>
          <w:szCs w:val="32"/>
          <w:u w:val="none" w:color="auto"/>
          <w:shd w:val="clear" w:color="auto" w:fill="FFFFFF"/>
          <w:lang w:eastAsia="zh-CN" w:bidi="ar"/>
        </w:rPr>
        <w:t>且</w:t>
      </w:r>
      <w:r>
        <w:rPr>
          <w:rFonts w:hint="eastAsia" w:ascii="方正仿宋_GBK" w:hAnsi="方正仿宋_GBK" w:eastAsia="方正仿宋_GBK" w:cs="方正仿宋_GBK"/>
          <w:color w:val="000000"/>
          <w:kern w:val="0"/>
          <w:sz w:val="32"/>
          <w:szCs w:val="32"/>
          <w:u w:val="none" w:color="auto"/>
          <w:shd w:val="clear" w:color="auto" w:fill="FFFFFF"/>
          <w:lang w:bidi="ar"/>
        </w:rPr>
        <w:t>不宜超过50户</w:t>
      </w:r>
      <w:r>
        <w:rPr>
          <w:rFonts w:hint="eastAsia" w:ascii="方正仿宋_GBK" w:hAnsi="方正仿宋_GBK" w:eastAsia="方正仿宋_GBK" w:cs="方正仿宋_GBK"/>
          <w:color w:val="000000"/>
          <w:kern w:val="0"/>
          <w:sz w:val="32"/>
          <w:szCs w:val="32"/>
          <w:u w:val="none" w:color="auto"/>
          <w:shd w:val="clear" w:color="auto" w:fill="FFFFFF"/>
          <w:lang w:eastAsia="zh-CN" w:bidi="ar"/>
        </w:rPr>
        <w:t>的</w:t>
      </w:r>
      <w:r>
        <w:rPr>
          <w:rFonts w:hint="eastAsia" w:eastAsia="方正仿宋_GBK"/>
          <w:sz w:val="32"/>
          <w:szCs w:val="32"/>
          <w:lang w:val="en-US" w:eastAsia="zh-CN"/>
        </w:rPr>
        <w:t>农村居民自建、联建或农村集中安置房等农村居民住宅建设。</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第三条  </w:t>
      </w:r>
      <w:r>
        <w:rPr>
          <w:rFonts w:hint="eastAsia" w:ascii="方正楷体_GBK" w:hAnsi="方正楷体_GBK" w:eastAsia="方正楷体_GBK" w:cs="方正楷体_GBK"/>
          <w:b w:val="0"/>
          <w:bCs w:val="0"/>
          <w:kern w:val="2"/>
          <w:sz w:val="32"/>
          <w:szCs w:val="32"/>
          <w:lang w:val="en-US" w:eastAsia="zh-CN" w:bidi="ar-SA"/>
          <w14:textFill>
            <w14:gradFill>
              <w14:gsLst>
                <w14:gs w14:pos="0">
                  <w14:srgbClr w14:val="FE4444"/>
                </w14:gs>
                <w14:gs w14:pos="100000">
                  <w14:srgbClr w14:val="832B2B"/>
                </w14:gs>
              </w14:gsLst>
              <w14:lin w14:scaled="0"/>
            </w14:gradFill>
          </w14:textFill>
        </w:rPr>
        <w:t>【工作原则】</w:t>
      </w:r>
      <w:r>
        <w:rPr>
          <w:rFonts w:hint="eastAsia" w:eastAsia="方正仿宋_GBK"/>
          <w:sz w:val="32"/>
          <w:szCs w:val="32"/>
          <w:lang w:val="en-US" w:eastAsia="zh-CN"/>
        </w:rPr>
        <w:t>推进居民点建设，坚持节约土地、集约用地，推进统筹城乡，提高乡村建设水平；</w:t>
      </w:r>
      <w:r>
        <w:rPr>
          <w:rFonts w:hint="eastAsia" w:eastAsia="方正仿宋_GBK"/>
          <w:sz w:val="32"/>
          <w:szCs w:val="32"/>
          <w:u w:val="dotDash"/>
          <w:lang w:val="en-US" w:eastAsia="zh-CN"/>
        </w:rPr>
        <w:t>坚持先规划后建设，</w:t>
      </w:r>
      <w:r>
        <w:rPr>
          <w:rFonts w:hint="eastAsia" w:eastAsia="方正仿宋_GBK"/>
          <w:sz w:val="32"/>
          <w:szCs w:val="32"/>
          <w:lang w:val="en-US" w:eastAsia="zh-CN"/>
        </w:rPr>
        <w:t>完善基础设施、公共服务配套，塑造农村生态美、建筑美、生活美；坚持就近集中、便利生产，满足农民生活需要，体现山、水、田、园、林、村融合的特色。</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楷体_GBK" w:hAnsi="方正楷体_GBK" w:eastAsia="方正楷体_GBK" w:cs="方正楷体_GBK"/>
          <w:b w:val="0"/>
          <w:bCs w:val="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第二章  居民点规划选址</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eastAsia="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第四条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【居民点布点规划编制】</w:t>
      </w:r>
      <w:r>
        <w:rPr>
          <w:rFonts w:hint="eastAsia" w:eastAsia="方正仿宋_GBK"/>
          <w:sz w:val="32"/>
          <w:szCs w:val="32"/>
          <w:lang w:val="en-US" w:eastAsia="zh-CN"/>
        </w:rPr>
        <w:t>根据大足区国土空间规划、国民经济发展规划、村庄规划，在满足农村建设用地性质和农村建房需求，区规划自然资源局编制全区农村集中居民点布点规划，</w:t>
      </w:r>
      <w:r>
        <w:rPr>
          <w:rFonts w:hint="eastAsia" w:eastAsia="方正仿宋_GBK"/>
          <w:sz w:val="32"/>
          <w:szCs w:val="32"/>
          <w:u w:val="wave"/>
          <w:lang w:val="en-US" w:eastAsia="zh-CN"/>
          <w14:textFill>
            <w14:gradFill>
              <w14:gsLst>
                <w14:gs w14:pos="0">
                  <w14:srgbClr w14:val="FE4444"/>
                </w14:gs>
                <w14:gs w14:pos="100000">
                  <w14:srgbClr w14:val="832B2B"/>
                </w14:gs>
              </w14:gsLst>
              <w14:lin w14:scaled="0"/>
            </w14:gradFill>
          </w14:textFill>
        </w:rPr>
        <w:t>报区规委会批准实施。</w:t>
      </w: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eastAsia" w:eastAsia="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    第五条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【居民点选址要求】</w:t>
      </w:r>
      <w:r>
        <w:rPr>
          <w:rFonts w:hint="eastAsia" w:eastAsia="方正仿宋_GBK"/>
          <w:sz w:val="32"/>
          <w:szCs w:val="32"/>
          <w:lang w:val="en-US" w:eastAsia="zh-CN"/>
        </w:rPr>
        <w:t>居民点选址要优先利用闲置宅基地、废弃校舍、荒地或其他农村建设用地废弃地。选址应保障安全，合规避开永久基本农田、生态红线和林地、饮用水源地，合理避让易发地灾等区域。居民点选址不得破坏传统建筑、古树等，保护农村田园风光。</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第六条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【居民点设计方案规定】</w:t>
      </w:r>
      <w:r>
        <w:rPr>
          <w:rFonts w:hint="eastAsia" w:eastAsia="方正仿宋_GBK"/>
          <w:sz w:val="32"/>
          <w:szCs w:val="32"/>
          <w:lang w:val="en-US" w:eastAsia="zh-CN"/>
        </w:rPr>
        <w:t>居民点规划布局要充分尊重农村居民意愿，规模适度、资源节约，不得强制农民搬迁和上楼居住。居民点平面布局合理，建筑密度、高度、色彩、标高，道路交通、公共设施、消防设施，绿地范围的控制线等满足国家强制性规范、规定。</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方正仿宋_GBK"/>
          <w:sz w:val="32"/>
          <w:szCs w:val="32"/>
          <w:u w:val="wave"/>
          <w:lang w:val="en-US" w:eastAsia="zh-CN"/>
        </w:rPr>
      </w:pPr>
      <w:r>
        <w:rPr>
          <w:rFonts w:hint="eastAsia" w:ascii="方正楷体_GBK" w:hAnsi="方正楷体_GBK" w:eastAsia="方正楷体_GBK" w:cs="方正楷体_GBK"/>
          <w:b w:val="0"/>
          <w:bCs w:val="0"/>
          <w:sz w:val="32"/>
          <w:szCs w:val="32"/>
          <w:lang w:val="en-US" w:eastAsia="zh-CN"/>
        </w:rPr>
        <w:t xml:space="preserve">第七条  </w:t>
      </w:r>
      <w:r>
        <w:rPr>
          <w:rFonts w:hint="eastAsia" w:ascii="方正楷体_GBK" w:hAnsi="方正楷体_GBK" w:eastAsia="方正楷体_GBK" w:cs="方正楷体_GBK"/>
          <w:b w:val="0"/>
          <w:bCs w:val="0"/>
          <w:kern w:val="2"/>
          <w:sz w:val="32"/>
          <w:szCs w:val="32"/>
          <w:lang w:val="en-US" w:eastAsia="zh-CN" w:bidi="ar-SA"/>
          <w14:textFill>
            <w14:gradFill>
              <w14:gsLst>
                <w14:gs w14:pos="0">
                  <w14:srgbClr w14:val="FE4444"/>
                </w14:gs>
                <w14:gs w14:pos="100000">
                  <w14:srgbClr w14:val="832B2B"/>
                </w14:gs>
              </w14:gsLst>
              <w14:lin w14:scaled="0"/>
            </w14:gradFill>
          </w14:textFill>
        </w:rPr>
        <w:t>【居民点设计方案报审批】</w:t>
      </w:r>
      <w:r>
        <w:rPr>
          <w:rFonts w:hint="eastAsia" w:eastAsia="方正仿宋_GBK"/>
          <w:sz w:val="32"/>
          <w:szCs w:val="32"/>
          <w:lang w:val="en-US" w:eastAsia="zh-CN"/>
        </w:rPr>
        <w:t>镇街负责居民点建设前期调查摸底和征求意见，委托具有资质的设计单位组织编制规划设计方案。</w:t>
      </w:r>
      <w:r>
        <w:rPr>
          <w:rFonts w:hint="eastAsia" w:eastAsia="方正仿宋_GBK" w:asciiTheme="minorHAnsi" w:hAnsiTheme="minorHAnsi" w:cstheme="minorBidi"/>
          <w:kern w:val="2"/>
          <w:sz w:val="32"/>
          <w:szCs w:val="32"/>
          <w:lang w:val="en-US" w:eastAsia="zh-CN" w:bidi="ar-SA"/>
        </w:rPr>
        <w:t>设计</w:t>
      </w:r>
      <w:r>
        <w:rPr>
          <w:rFonts w:hint="eastAsia" w:eastAsia="方正仿宋_GBK"/>
          <w:sz w:val="32"/>
          <w:szCs w:val="32"/>
          <w:lang w:val="en-US" w:eastAsia="zh-CN"/>
        </w:rPr>
        <w:t>方案</w:t>
      </w:r>
      <w:r>
        <w:rPr>
          <w:rFonts w:hint="eastAsia" w:eastAsia="方正仿宋_GBK" w:asciiTheme="minorHAnsi" w:hAnsiTheme="minorHAnsi" w:cstheme="minorBidi"/>
          <w:kern w:val="2"/>
          <w:sz w:val="32"/>
          <w:szCs w:val="32"/>
          <w:lang w:val="en-US" w:eastAsia="zh-CN" w:bidi="ar-SA"/>
        </w:rPr>
        <w:t>应当符合安全、适用、美观，体现地方特色</w:t>
      </w:r>
      <w:r>
        <w:rPr>
          <w:rFonts w:hint="eastAsia" w:eastAsia="方正仿宋_GBK" w:cstheme="minorBidi"/>
          <w:kern w:val="2"/>
          <w:sz w:val="32"/>
          <w:szCs w:val="32"/>
          <w:lang w:val="en-US" w:eastAsia="zh-CN" w:bidi="ar-SA"/>
        </w:rPr>
        <w:t>和建筑文化特征</w:t>
      </w:r>
      <w:r>
        <w:rPr>
          <w:rFonts w:hint="eastAsia" w:eastAsia="方正仿宋_GBK"/>
          <w:sz w:val="32"/>
          <w:szCs w:val="32"/>
          <w:lang w:val="en-US" w:eastAsia="zh-CN"/>
        </w:rPr>
        <w:t>。在1：500地形图上按方案编制深度进行设计，方案编制成果经公示无异议后，报经区规资局进行业务审查及部门专家会审查后，</w:t>
      </w:r>
      <w:r>
        <w:rPr>
          <w:rFonts w:hint="eastAsia" w:eastAsia="方正仿宋_GBK"/>
          <w:sz w:val="32"/>
          <w:szCs w:val="32"/>
          <w:u w:val="wave"/>
          <w:lang w:val="en-US" w:eastAsia="zh-CN"/>
          <w14:textFill>
            <w14:gradFill>
              <w14:gsLst>
                <w14:gs w14:pos="0">
                  <w14:srgbClr w14:val="FE4444"/>
                </w14:gs>
                <w14:gs w14:pos="100000">
                  <w14:srgbClr w14:val="832B2B"/>
                </w14:gs>
              </w14:gsLst>
              <w14:lin w14:scaled="0"/>
            </w14:gradFill>
          </w14:textFill>
        </w:rPr>
        <w:t>报区政府批准实施。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eastAsia="方正仿宋_GBK"/>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第三章  建设用地审批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eastAsia" w:eastAsia="方正仿宋_GBK" w:cstheme="minorBidi"/>
          <w:kern w:val="0"/>
          <w:sz w:val="32"/>
          <w:szCs w:val="32"/>
          <w:lang w:val="en-US" w:eastAsia="zh-CN" w:bidi="ar"/>
        </w:rPr>
      </w:pPr>
      <w:r>
        <w:rPr>
          <w:rFonts w:hint="eastAsia" w:ascii="方正楷体_GBK" w:hAnsi="方正楷体_GBK" w:eastAsia="方正楷体_GBK" w:cs="方正楷体_GBK"/>
          <w:b w:val="0"/>
          <w:bCs w:val="0"/>
          <w:sz w:val="32"/>
          <w:szCs w:val="32"/>
          <w:lang w:val="en-US" w:eastAsia="zh-CN"/>
        </w:rPr>
        <w:t xml:space="preserve">第八条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【建设用地踏勘】</w:t>
      </w:r>
      <w:r>
        <w:rPr>
          <w:rFonts w:hint="eastAsia" w:eastAsia="方正仿宋_GBK" w:asciiTheme="minorHAnsi" w:hAnsiTheme="minorHAnsi" w:cstheme="minorBidi"/>
          <w:kern w:val="0"/>
          <w:sz w:val="32"/>
          <w:szCs w:val="32"/>
          <w:lang w:val="en-US" w:eastAsia="zh-CN" w:bidi="ar"/>
        </w:rPr>
        <w:t>根据</w:t>
      </w:r>
      <w:r>
        <w:rPr>
          <w:rFonts w:hint="eastAsia" w:eastAsia="方正仿宋_GBK" w:cstheme="minorBidi"/>
          <w:kern w:val="0"/>
          <w:sz w:val="32"/>
          <w:szCs w:val="32"/>
          <w:lang w:val="en-US" w:eastAsia="zh-CN" w:bidi="ar"/>
        </w:rPr>
        <w:t>全区农村集中</w:t>
      </w:r>
      <w:r>
        <w:rPr>
          <w:rFonts w:hint="eastAsia" w:eastAsia="方正仿宋_GBK" w:asciiTheme="minorHAnsi" w:hAnsiTheme="minorHAnsi" w:cstheme="minorBidi"/>
          <w:kern w:val="0"/>
          <w:sz w:val="32"/>
          <w:szCs w:val="32"/>
          <w:lang w:val="en-US" w:eastAsia="zh-CN" w:bidi="ar"/>
        </w:rPr>
        <w:t>居民点布点规划，镇街</w:t>
      </w:r>
      <w:r>
        <w:rPr>
          <w:rFonts w:hint="eastAsia" w:eastAsia="方正仿宋_GBK" w:cstheme="minorBidi"/>
          <w:kern w:val="0"/>
          <w:sz w:val="32"/>
          <w:szCs w:val="32"/>
          <w:lang w:val="en-US" w:eastAsia="zh-CN" w:bidi="ar"/>
        </w:rPr>
        <w:t>经</w:t>
      </w:r>
      <w:r>
        <w:rPr>
          <w:rFonts w:hint="eastAsia" w:eastAsia="方正仿宋_GBK" w:asciiTheme="minorHAnsi" w:hAnsiTheme="minorHAnsi" w:cstheme="minorBidi"/>
          <w:kern w:val="0"/>
          <w:sz w:val="32"/>
          <w:szCs w:val="32"/>
          <w:lang w:val="en-US" w:eastAsia="zh-CN" w:bidi="ar"/>
        </w:rPr>
        <w:t>村委（社区居委）和建房村民</w:t>
      </w:r>
      <w:r>
        <w:rPr>
          <w:rFonts w:hint="eastAsia" w:eastAsia="方正仿宋_GBK" w:cstheme="minorBidi"/>
          <w:kern w:val="0"/>
          <w:sz w:val="32"/>
          <w:szCs w:val="32"/>
          <w:lang w:val="en-US" w:eastAsia="zh-CN" w:bidi="ar"/>
        </w:rPr>
        <w:t>同意后，提出居民点建设用地申请，区规划自然资源局组织实地踏勘并确定居民点建设用地红线。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default" w:eastAsia="方正仿宋_GBK" w:cstheme="minorBidi"/>
          <w:kern w:val="0"/>
          <w:sz w:val="32"/>
          <w:szCs w:val="32"/>
          <w:lang w:val="en-US" w:eastAsia="zh-CN" w:bidi="ar"/>
        </w:rPr>
      </w:pPr>
      <w:r>
        <w:rPr>
          <w:rFonts w:hint="eastAsia" w:ascii="方正楷体_GBK" w:hAnsi="方正楷体_GBK" w:eastAsia="方正楷体_GBK" w:cs="方正楷体_GBK"/>
          <w:kern w:val="0"/>
          <w:sz w:val="32"/>
          <w:szCs w:val="32"/>
          <w:lang w:val="en-US" w:eastAsia="zh-CN" w:bidi="ar"/>
        </w:rPr>
        <w:t xml:space="preserve">第九条 </w:t>
      </w:r>
      <w:r>
        <w:rPr>
          <w:rFonts w:hint="eastAsia" w:ascii="方正楷体_GBK" w:hAnsi="方正楷体_GBK" w:eastAsia="方正楷体_GBK" w:cs="方正楷体_GBK"/>
          <w:b w:val="0"/>
          <w:bCs w:val="0"/>
          <w:sz w:val="32"/>
          <w:szCs w:val="32"/>
          <w:lang w:val="en-US" w:eastAsia="zh-CN"/>
        </w:rPr>
        <w:t xml:space="preserve">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【用地指标申请】</w:t>
      </w:r>
      <w:r>
        <w:rPr>
          <w:rFonts w:hint="eastAsia" w:eastAsia="方正仿宋_GBK" w:cstheme="minorBidi"/>
          <w:kern w:val="0"/>
          <w:sz w:val="32"/>
          <w:szCs w:val="32"/>
          <w:lang w:val="en-US" w:eastAsia="zh-CN" w:bidi="ar"/>
        </w:rPr>
        <w:t>区规划自然资源局编制年度农村建房用地指标计划，优先满足居民点的建设用地指标。居民点建设所需新增建设用地计划指标，市规划自然资源局在全市年度计划内统筹按需配置，区规划自然资源局批准农用地转用时直接核销。年度使用指标根据审批备案情况与市规划自然资源局结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default" w:eastAsia="方正仿宋_GBK"/>
          <w:sz w:val="32"/>
          <w:szCs w:val="32"/>
          <w:lang w:val="en-US" w:eastAsia="zh-CN"/>
        </w:rPr>
      </w:pPr>
      <w:r>
        <w:rPr>
          <w:rFonts w:hint="eastAsia" w:ascii="方正楷体_GBK" w:hAnsi="方正楷体_GBK" w:eastAsia="方正楷体_GBK" w:cs="方正楷体_GBK"/>
          <w:sz w:val="32"/>
          <w:szCs w:val="32"/>
          <w:lang w:val="en-US" w:eastAsia="zh-CN"/>
        </w:rPr>
        <w:t xml:space="preserve">第十条 </w:t>
      </w:r>
      <w:r>
        <w:rPr>
          <w:rFonts w:hint="eastAsia" w:ascii="方正楷体_GBK" w:hAnsi="方正楷体_GBK" w:eastAsia="方正楷体_GBK" w:cs="方正楷体_GBK"/>
          <w:b w:val="0"/>
          <w:bCs w:val="0"/>
          <w:sz w:val="32"/>
          <w:szCs w:val="32"/>
          <w:lang w:val="en-US" w:eastAsia="zh-CN"/>
        </w:rPr>
        <w:t xml:space="preserve"> </w:t>
      </w:r>
      <w:r>
        <w:rPr>
          <w:rFonts w:hint="eastAsia" w:ascii="方正楷体_GBK" w:hAnsi="方正楷体_GBK" w:eastAsia="方正楷体_GBK" w:cs="方正楷体_GBK"/>
          <w:sz w:val="32"/>
          <w:szCs w:val="32"/>
          <w:lang w:val="en-US" w:eastAsia="zh-CN"/>
          <w14:textFill>
            <w14:gradFill>
              <w14:gsLst>
                <w14:gs w14:pos="0">
                  <w14:srgbClr w14:val="FE4444"/>
                </w14:gs>
                <w14:gs w14:pos="100000">
                  <w14:srgbClr w14:val="832B2B"/>
                </w14:gs>
              </w14:gsLst>
              <w14:lin w14:scaled="0"/>
            </w14:gradFill>
          </w14:textFill>
        </w:rPr>
        <w:t>【建设用地审查】</w:t>
      </w:r>
      <w:r>
        <w:rPr>
          <w:rFonts w:hint="eastAsia" w:eastAsia="方正仿宋_GBK" w:cstheme="minorBidi"/>
          <w:kern w:val="0"/>
          <w:sz w:val="32"/>
          <w:szCs w:val="32"/>
          <w:lang w:val="en-US" w:eastAsia="zh-CN" w:bidi="ar"/>
        </w:rPr>
        <w:t>镇街按照“占一补一，占优补优、占水田补水田”的原则，统筹本区域内储备补充耕地指标、土地整治和高标准农田建设等多种途径补充耕地，落实占补平衡。</w:t>
      </w:r>
      <w:r>
        <w:rPr>
          <w:rFonts w:hint="eastAsia" w:eastAsia="方正仿宋_GBK"/>
          <w:sz w:val="32"/>
          <w:szCs w:val="32"/>
          <w:lang w:val="en-US" w:eastAsia="zh-CN"/>
        </w:rPr>
        <w:t>居民点建设应当对建设项目批准、核准或备案、用地预审等情况进行审查，开展建设用地地质灾害危险性评估，落实防范措施。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eastAsia" w:eastAsia="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第十一条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【建设用地报审批】</w:t>
      </w:r>
      <w:r>
        <w:rPr>
          <w:rFonts w:hint="eastAsia" w:eastAsia="方正仿宋_GBK" w:asciiTheme="minorHAnsi" w:hAnsiTheme="minorHAnsi" w:cstheme="minorBidi"/>
          <w:kern w:val="0"/>
          <w:sz w:val="32"/>
          <w:szCs w:val="32"/>
          <w:lang w:val="en-US" w:eastAsia="zh-CN" w:bidi="ar"/>
        </w:rPr>
        <w:t>居民点</w:t>
      </w:r>
      <w:r>
        <w:rPr>
          <w:rFonts w:hint="eastAsia" w:eastAsia="方正仿宋_GBK" w:cstheme="minorBidi"/>
          <w:kern w:val="0"/>
          <w:sz w:val="32"/>
          <w:szCs w:val="32"/>
          <w:lang w:val="en-US" w:eastAsia="zh-CN" w:bidi="ar"/>
        </w:rPr>
        <w:t>的</w:t>
      </w:r>
      <w:r>
        <w:rPr>
          <w:rFonts w:hint="eastAsia" w:eastAsia="方正仿宋_GBK" w:asciiTheme="minorHAnsi" w:hAnsiTheme="minorHAnsi" w:cstheme="minorBidi"/>
          <w:kern w:val="0"/>
          <w:sz w:val="32"/>
          <w:szCs w:val="32"/>
          <w:lang w:val="en-US" w:eastAsia="zh-CN" w:bidi="ar"/>
        </w:rPr>
        <w:t>建设用地</w:t>
      </w:r>
      <w:r>
        <w:rPr>
          <w:rFonts w:hint="eastAsia" w:eastAsia="方正仿宋_GBK" w:cstheme="minorBidi"/>
          <w:kern w:val="0"/>
          <w:sz w:val="32"/>
          <w:szCs w:val="32"/>
          <w:lang w:val="en-US" w:eastAsia="zh-CN" w:bidi="ar"/>
        </w:rPr>
        <w:t>要坚持“八不准”</w:t>
      </w:r>
      <w:r>
        <w:rPr>
          <w:rFonts w:hint="eastAsia" w:eastAsia="方正仿宋_GBK" w:asciiTheme="minorHAnsi" w:hAnsiTheme="minorHAnsi" w:cstheme="minorBidi"/>
          <w:kern w:val="0"/>
          <w:sz w:val="32"/>
          <w:szCs w:val="32"/>
          <w:lang w:val="en-US" w:eastAsia="zh-CN" w:bidi="ar"/>
        </w:rPr>
        <w:t>，将永久基本农田、生态红线范围以外的农用地转为建设用地的，其农用地转用</w:t>
      </w:r>
      <w:r>
        <w:rPr>
          <w:rFonts w:hint="eastAsia" w:eastAsia="方正仿宋_GBK" w:cstheme="minorBidi"/>
          <w:kern w:val="0"/>
          <w:sz w:val="32"/>
          <w:szCs w:val="32"/>
          <w:lang w:val="en-US" w:eastAsia="zh-CN" w:bidi="ar"/>
        </w:rPr>
        <w:t>（含补充耕地方案）</w:t>
      </w:r>
      <w:r>
        <w:rPr>
          <w:rFonts w:hint="eastAsia" w:eastAsia="方正仿宋_GBK" w:asciiTheme="minorHAnsi" w:hAnsiTheme="minorHAnsi" w:cstheme="minorBidi"/>
          <w:kern w:val="0"/>
          <w:sz w:val="32"/>
          <w:szCs w:val="32"/>
          <w:lang w:val="en-US" w:eastAsia="zh-CN" w:bidi="ar"/>
        </w:rPr>
        <w:t>由市政府委托</w:t>
      </w:r>
      <w:r>
        <w:rPr>
          <w:rFonts w:hint="eastAsia" w:eastAsia="方正仿宋_GBK" w:cstheme="minorBidi"/>
          <w:kern w:val="0"/>
          <w:sz w:val="32"/>
          <w:szCs w:val="32"/>
          <w:lang w:val="en-US" w:eastAsia="zh-CN" w:bidi="ar"/>
        </w:rPr>
        <w:t>的</w:t>
      </w:r>
      <w:r>
        <w:rPr>
          <w:rFonts w:hint="eastAsia" w:eastAsia="方正仿宋_GBK" w:asciiTheme="minorHAnsi" w:hAnsiTheme="minorHAnsi" w:cstheme="minorBidi"/>
          <w:kern w:val="0"/>
          <w:sz w:val="32"/>
          <w:szCs w:val="32"/>
          <w:lang w:val="en-US" w:eastAsia="zh-CN" w:bidi="ar"/>
        </w:rPr>
        <w:t>区政府</w:t>
      </w:r>
      <w:r>
        <w:rPr>
          <w:rFonts w:hint="eastAsia" w:eastAsia="方正仿宋_GBK" w:cstheme="minorBidi"/>
          <w:kern w:val="0"/>
          <w:sz w:val="32"/>
          <w:szCs w:val="32"/>
          <w:lang w:val="en-US" w:eastAsia="zh-CN" w:bidi="ar"/>
        </w:rPr>
        <w:t>批准</w:t>
      </w:r>
      <w:r>
        <w:rPr>
          <w:rFonts w:hint="eastAsia" w:eastAsia="方正仿宋_GBK" w:asciiTheme="minorHAnsi" w:hAnsiTheme="minorHAnsi" w:cstheme="minorBidi"/>
          <w:kern w:val="0"/>
          <w:sz w:val="32"/>
          <w:szCs w:val="32"/>
          <w:lang w:val="en-US" w:eastAsia="zh-CN" w:bidi="ar"/>
        </w:rPr>
        <w:t>。</w:t>
      </w:r>
      <w:r>
        <w:rPr>
          <w:rFonts w:hint="eastAsia" w:eastAsia="方正仿宋_GBK"/>
          <w:sz w:val="32"/>
          <w:szCs w:val="32"/>
          <w:lang w:val="en-US" w:eastAsia="zh-CN"/>
        </w:rPr>
        <w:t>已取得宅基地的农村村民申请在集中居民点建房的，应当编制拆旧建新方案报原批准机关批准并监督落实，不办理农用地转用审批手续。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eastAsia" w:ascii="方正仿宋_GBK" w:hAnsi="方正仿宋_GBK" w:eastAsia="方正仿宋_GBK" w:cs="方正仿宋_GBK"/>
          <w:sz w:val="32"/>
          <w:szCs w:val="32"/>
          <w:u w:val="dotDash"/>
          <w:lang w:val="en-US" w:eastAsia="zh-CN"/>
        </w:rPr>
      </w:pPr>
      <w:r>
        <w:rPr>
          <w:rFonts w:hint="eastAsia" w:ascii="方正楷体_GBK" w:hAnsi="方正楷体_GBK" w:eastAsia="方正楷体_GBK" w:cs="方正楷体_GBK"/>
          <w:b w:val="0"/>
          <w:bCs w:val="0"/>
          <w:sz w:val="32"/>
          <w:szCs w:val="32"/>
          <w:lang w:val="en-US" w:eastAsia="zh-CN"/>
        </w:rPr>
        <w:t xml:space="preserve">第十二条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【宅基地审批管理】</w:t>
      </w:r>
      <w:r>
        <w:rPr>
          <w:rFonts w:hint="eastAsia" w:eastAsia="方正仿宋_GBK"/>
          <w:sz w:val="32"/>
          <w:szCs w:val="32"/>
          <w:lang w:val="en-US" w:eastAsia="zh-CN"/>
        </w:rPr>
        <w:t>农村村民一户只能拥有一处宅基地。</w:t>
      </w:r>
      <w:r>
        <w:rPr>
          <w:rFonts w:hint="eastAsia" w:ascii="方正仿宋_GBK" w:hAnsi="方正仿宋_GBK" w:eastAsia="方正仿宋_GBK" w:cs="方正仿宋_GBK"/>
          <w:sz w:val="32"/>
          <w:szCs w:val="32"/>
        </w:rPr>
        <w:t>建立健全宅基地分配、使用、流转等管理制度，</w:t>
      </w:r>
      <w:r>
        <w:rPr>
          <w:rFonts w:hint="eastAsia" w:ascii="方正仿宋_GBK" w:hAnsi="方正仿宋_GBK" w:eastAsia="方正仿宋_GBK" w:cs="方正仿宋_GBK"/>
          <w:sz w:val="32"/>
          <w:szCs w:val="32"/>
          <w:lang w:eastAsia="zh-CN"/>
        </w:rPr>
        <w:t>居民点每户</w:t>
      </w:r>
      <w:r>
        <w:rPr>
          <w:rFonts w:hint="eastAsia" w:ascii="方正仿宋_GBK" w:hAnsi="方正仿宋_GBK" w:eastAsia="方正仿宋_GBK" w:cs="方正仿宋_GBK"/>
          <w:sz w:val="32"/>
          <w:szCs w:val="32"/>
        </w:rPr>
        <w:t>宅基地用地</w:t>
      </w:r>
      <w:r>
        <w:rPr>
          <w:rFonts w:hint="eastAsia" w:ascii="方正仿宋_GBK" w:hAnsi="方正仿宋_GBK" w:eastAsia="方正仿宋_GBK" w:cs="方正仿宋_GBK"/>
          <w:sz w:val="32"/>
          <w:szCs w:val="32"/>
          <w:lang w:eastAsia="zh-CN"/>
        </w:rPr>
        <w:t>、</w:t>
      </w:r>
      <w:r>
        <w:rPr>
          <w:rFonts w:hint="eastAsia" w:eastAsia="方正仿宋_GBK"/>
          <w:sz w:val="32"/>
          <w:szCs w:val="32"/>
          <w:lang w:val="en-US" w:eastAsia="zh-CN"/>
        </w:rPr>
        <w:t>建房层数和面积不得超过规定标准；每户按照规定可以配套的附属设施用地面积由居民点集中调剂使用。</w:t>
      </w:r>
      <w:r>
        <w:rPr>
          <w:rFonts w:hint="eastAsia" w:ascii="方正仿宋_GBK" w:hAnsi="方正仿宋_GBK" w:eastAsia="方正仿宋_GBK" w:cs="方正仿宋_GBK"/>
          <w:sz w:val="32"/>
          <w:szCs w:val="32"/>
          <w:u w:val="dotDash"/>
          <w:lang w:val="en-US" w:eastAsia="zh-CN"/>
        </w:rPr>
        <w:t>农村</w:t>
      </w:r>
      <w:r>
        <w:rPr>
          <w:rFonts w:hint="eastAsia" w:ascii="方正仿宋_GBK" w:hAnsi="方正仿宋_GBK" w:eastAsia="方正仿宋_GBK" w:cs="方正仿宋_GBK"/>
          <w:sz w:val="32"/>
          <w:szCs w:val="32"/>
          <w:u w:val="dotDash"/>
          <w:lang w:eastAsia="zh-CN"/>
        </w:rPr>
        <w:t>宅基地申请要件和审批流程按区住房城乡建委、区农业农村委、区规划自然资源局联合印发的《大足区农房建设全过程规范管理实施方案（试行）》（大足住建委发</w:t>
      </w:r>
      <w:r>
        <w:rPr>
          <w:rFonts w:hint="eastAsia" w:ascii="方正仿宋_GBK" w:hAnsi="方正仿宋_GBK" w:eastAsia="方正仿宋_GBK" w:cs="方正仿宋_GBK"/>
          <w:sz w:val="32"/>
          <w:szCs w:val="32"/>
          <w:u w:val="dotDash"/>
        </w:rPr>
        <w:t>〔20</w:t>
      </w:r>
      <w:r>
        <w:rPr>
          <w:rFonts w:hint="eastAsia" w:ascii="方正仿宋_GBK" w:hAnsi="方正仿宋_GBK" w:eastAsia="方正仿宋_GBK" w:cs="方正仿宋_GBK"/>
          <w:sz w:val="32"/>
          <w:szCs w:val="32"/>
          <w:u w:val="dotDash"/>
          <w:lang w:val="en-US" w:eastAsia="zh-CN"/>
        </w:rPr>
        <w:t>23</w:t>
      </w:r>
      <w:r>
        <w:rPr>
          <w:rFonts w:hint="eastAsia" w:ascii="方正仿宋_GBK" w:hAnsi="方正仿宋_GBK" w:eastAsia="方正仿宋_GBK" w:cs="方正仿宋_GBK"/>
          <w:sz w:val="32"/>
          <w:szCs w:val="32"/>
          <w:u w:val="dotDash"/>
        </w:rPr>
        <w:t>〕</w:t>
      </w:r>
      <w:r>
        <w:rPr>
          <w:rFonts w:hint="eastAsia" w:ascii="方正仿宋_GBK" w:hAnsi="方正仿宋_GBK" w:eastAsia="方正仿宋_GBK" w:cs="方正仿宋_GBK"/>
          <w:sz w:val="32"/>
          <w:szCs w:val="32"/>
          <w:u w:val="dotDash"/>
          <w:lang w:val="en-US" w:eastAsia="zh-CN"/>
        </w:rPr>
        <w:t>88号</w:t>
      </w:r>
      <w:r>
        <w:rPr>
          <w:rFonts w:hint="eastAsia" w:ascii="方正仿宋_GBK" w:hAnsi="方正仿宋_GBK" w:eastAsia="方正仿宋_GBK" w:cs="方正仿宋_GBK"/>
          <w:sz w:val="32"/>
          <w:szCs w:val="32"/>
          <w:u w:val="dotDash"/>
          <w:lang w:eastAsia="zh-CN"/>
        </w:rPr>
        <w:t>）执行</w:t>
      </w:r>
      <w:r>
        <w:rPr>
          <w:rFonts w:hint="eastAsia" w:ascii="方正仿宋_GBK" w:hAnsi="方正仿宋_GBK" w:eastAsia="方正仿宋_GBK" w:cs="方正仿宋_GBK"/>
          <w:sz w:val="32"/>
          <w:szCs w:val="32"/>
          <w:u w:val="dotDash"/>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方正楷体_GBK" w:hAnsi="方正楷体_GBK" w:eastAsia="方正楷体_GBK" w:cs="方正楷体_GBK"/>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仿宋_GBK" w:hAnsi="方正仿宋_GBK" w:eastAsia="方正仿宋_GBK" w:cs="方正仿宋_GBK"/>
          <w:b/>
          <w:bCs/>
          <w:color w:val="auto"/>
          <w:kern w:val="0"/>
          <w:sz w:val="32"/>
          <w:szCs w:val="32"/>
          <w:highlight w:val="none"/>
          <w:u w:val="none" w:color="auto"/>
          <w:shd w:val="clear" w:color="auto" w:fill="FFFFFF"/>
          <w:lang w:val="en-US" w:eastAsia="zh-CN" w:bidi="ar-SA"/>
        </w:rPr>
      </w:pPr>
      <w:r>
        <w:rPr>
          <w:rFonts w:hint="eastAsia" w:ascii="方正黑体_GBK" w:hAnsi="方正黑体_GBK" w:eastAsia="方正黑体_GBK" w:cs="方正黑体_GBK"/>
          <w:b w:val="0"/>
          <w:bCs w:val="0"/>
          <w:sz w:val="32"/>
          <w:szCs w:val="32"/>
          <w:lang w:val="en-US" w:eastAsia="zh-CN"/>
        </w:rPr>
        <w:t>第四章  组织建筑设计</w:t>
      </w:r>
    </w:p>
    <w:p>
      <w:pPr>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eastAsia"/>
          <w:sz w:val="32"/>
          <w:szCs w:val="32"/>
        </w:rPr>
      </w:pPr>
      <w:r>
        <w:rPr>
          <w:rFonts w:hint="eastAsia" w:ascii="方正楷体_GBK" w:hAnsi="方正楷体_GBK" w:eastAsia="方正楷体_GBK" w:cs="方正楷体_GBK"/>
          <w:color w:val="auto"/>
          <w:spacing w:val="0"/>
          <w:sz w:val="32"/>
          <w:szCs w:val="32"/>
          <w:lang w:val="en-US" w:eastAsia="zh-CN"/>
        </w:rPr>
        <w:t xml:space="preserve">第十三条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【建筑布局要求】</w:t>
      </w:r>
      <w:r>
        <w:rPr>
          <w:rFonts w:hint="eastAsia" w:ascii="方正仿宋_GBK" w:hAnsi="方正仿宋_GBK" w:eastAsia="方正仿宋_GBK" w:cs="方正仿宋_GBK"/>
          <w:sz w:val="32"/>
          <w:szCs w:val="32"/>
          <w:lang w:val="en-US" w:eastAsia="zh-CN"/>
        </w:rPr>
        <w:t>居民点建筑</w:t>
      </w:r>
      <w:r>
        <w:rPr>
          <w:rFonts w:hint="eastAsia" w:ascii="方正仿宋_GBK" w:hAnsi="方正仿宋_GBK" w:eastAsia="方正仿宋_GBK" w:cs="方正仿宋_GBK"/>
          <w:sz w:val="32"/>
          <w:szCs w:val="32"/>
        </w:rPr>
        <w:t>应</w:t>
      </w:r>
      <w:r>
        <w:rPr>
          <w:rFonts w:hint="eastAsia" w:ascii="方正仿宋_GBK" w:hAnsi="方正仿宋_GBK" w:eastAsia="方正仿宋_GBK" w:cs="方正仿宋_GBK"/>
          <w:sz w:val="32"/>
          <w:szCs w:val="32"/>
          <w:lang w:eastAsia="zh-CN"/>
        </w:rPr>
        <w:t>当</w:t>
      </w:r>
      <w:r>
        <w:rPr>
          <w:rFonts w:hint="eastAsia" w:ascii="方正仿宋_GBK" w:hAnsi="方正仿宋_GBK" w:eastAsia="方正仿宋_GBK" w:cs="方正仿宋_GBK"/>
          <w:sz w:val="32"/>
          <w:szCs w:val="32"/>
        </w:rPr>
        <w:t>根</w:t>
      </w:r>
      <w:r>
        <w:rPr>
          <w:rFonts w:hint="eastAsia" w:ascii="方正仿宋_GBK" w:hAnsi="方正仿宋_GBK" w:eastAsia="方正仿宋_GBK" w:cs="方正仿宋_GBK"/>
          <w:color w:val="000000"/>
          <w:kern w:val="0"/>
          <w:sz w:val="32"/>
          <w:szCs w:val="32"/>
          <w:u w:val="none" w:color="auto"/>
          <w:shd w:val="clear" w:color="auto" w:fill="FFFFFF"/>
          <w:lang w:bidi="ar"/>
        </w:rPr>
        <w:t>据地形高差和周边环境，灵活布局建筑，</w:t>
      </w:r>
      <w:r>
        <w:rPr>
          <w:rFonts w:hint="eastAsia" w:ascii="方正仿宋_GBK" w:hAnsi="方正仿宋_GBK" w:eastAsia="方正仿宋_GBK" w:cs="方正仿宋_GBK"/>
          <w:color w:val="000000"/>
          <w:kern w:val="0"/>
          <w:sz w:val="32"/>
          <w:szCs w:val="32"/>
          <w:u w:val="none" w:color="auto"/>
          <w:shd w:val="clear" w:color="auto" w:fill="FFFFFF"/>
          <w:lang w:eastAsia="zh-CN" w:bidi="ar"/>
        </w:rPr>
        <w:t>严禁布局</w:t>
      </w:r>
      <w:r>
        <w:rPr>
          <w:rFonts w:hint="eastAsia" w:ascii="方正仿宋_GBK" w:hAnsi="方正仿宋_GBK" w:eastAsia="方正仿宋_GBK" w:cs="方正仿宋_GBK"/>
          <w:color w:val="000000"/>
          <w:sz w:val="32"/>
          <w:szCs w:val="32"/>
          <w:u w:val="none" w:color="auto"/>
          <w:shd w:val="clear" w:color="auto" w:fill="FFFFFF"/>
          <w:lang w:bidi="ar"/>
        </w:rPr>
        <w:t>大体量、中高</w:t>
      </w:r>
      <w:r>
        <w:rPr>
          <w:rFonts w:ascii="方正仿宋_GBK" w:hAnsi="方正仿宋_GBK" w:eastAsia="方正仿宋_GBK" w:cs="方正仿宋_GBK"/>
          <w:color w:val="000000"/>
          <w:sz w:val="32"/>
          <w:szCs w:val="32"/>
          <w:u w:val="none" w:color="auto"/>
          <w:shd w:val="clear" w:color="auto" w:fill="FFFFFF"/>
          <w:lang w:bidi="ar"/>
        </w:rPr>
        <w:t>层</w:t>
      </w:r>
      <w:r>
        <w:rPr>
          <w:rFonts w:hint="eastAsia" w:ascii="方正仿宋_GBK" w:hAnsi="方正仿宋_GBK" w:eastAsia="方正仿宋_GBK" w:cs="方正仿宋_GBK"/>
          <w:color w:val="000000"/>
          <w:sz w:val="32"/>
          <w:szCs w:val="32"/>
          <w:u w:val="none" w:color="auto"/>
          <w:shd w:val="clear" w:color="auto" w:fill="FFFFFF"/>
          <w:lang w:eastAsia="zh-CN" w:bidi="ar"/>
        </w:rPr>
        <w:t>或</w:t>
      </w:r>
      <w:r>
        <w:rPr>
          <w:rFonts w:hint="eastAsia" w:ascii="方正仿宋_GBK" w:hAnsi="方正仿宋_GBK" w:eastAsia="方正仿宋_GBK" w:cs="方正仿宋_GBK"/>
          <w:color w:val="000000"/>
          <w:sz w:val="32"/>
          <w:szCs w:val="32"/>
          <w:u w:val="none" w:color="auto"/>
          <w:shd w:val="clear" w:color="auto" w:fill="FFFFFF"/>
          <w:lang w:bidi="ar"/>
        </w:rPr>
        <w:t>呆板的行列式</w:t>
      </w:r>
      <w:r>
        <w:rPr>
          <w:rFonts w:hint="eastAsia" w:ascii="方正仿宋_GBK" w:hAnsi="方正仿宋_GBK" w:eastAsia="方正仿宋_GBK" w:cs="方正仿宋_GBK"/>
          <w:color w:val="000000"/>
          <w:sz w:val="32"/>
          <w:szCs w:val="32"/>
          <w:u w:val="none" w:color="auto"/>
          <w:shd w:val="clear" w:color="auto" w:fill="FFFFFF"/>
          <w:lang w:eastAsia="zh-CN" w:bidi="ar"/>
        </w:rPr>
        <w:t>建筑</w:t>
      </w:r>
      <w:r>
        <w:rPr>
          <w:rFonts w:hint="eastAsia" w:ascii="方正仿宋_GBK" w:hAnsi="方正仿宋_GBK" w:eastAsia="方正仿宋_GBK" w:cs="方正仿宋_GBK"/>
          <w:color w:val="000000"/>
          <w:sz w:val="32"/>
          <w:szCs w:val="32"/>
          <w:u w:val="none" w:color="auto"/>
          <w:shd w:val="clear" w:color="auto" w:fill="FFFFFF"/>
          <w:lang w:bidi="ar"/>
        </w:rPr>
        <w:t>布局</w:t>
      </w:r>
      <w:r>
        <w:rPr>
          <w:rFonts w:hint="eastAsia" w:ascii="方正仿宋_GBK" w:hAnsi="方正仿宋_GBK" w:eastAsia="方正仿宋_GBK" w:cs="方正仿宋_GBK"/>
          <w:color w:val="000000"/>
          <w:sz w:val="32"/>
          <w:szCs w:val="32"/>
          <w:u w:val="none" w:color="auto"/>
          <w:shd w:val="clear" w:color="auto" w:fill="FFFFFF"/>
          <w:lang w:eastAsia="zh-CN" w:bidi="ar"/>
        </w:rPr>
        <w:t>，</w:t>
      </w:r>
      <w:r>
        <w:rPr>
          <w:rFonts w:hint="eastAsia" w:ascii="方正仿宋_GBK" w:hAnsi="方正仿宋_GBK" w:eastAsia="方正仿宋_GBK" w:cs="方正仿宋_GBK"/>
          <w:color w:val="000000"/>
          <w:kern w:val="0"/>
          <w:sz w:val="32"/>
          <w:szCs w:val="32"/>
          <w:u w:val="none" w:color="auto"/>
          <w:shd w:val="clear" w:color="auto" w:fill="FFFFFF"/>
          <w:lang w:eastAsia="zh-CN" w:bidi="ar"/>
        </w:rPr>
        <w:t>可</w:t>
      </w:r>
      <w:r>
        <w:rPr>
          <w:rFonts w:hint="eastAsia" w:ascii="方正仿宋_GBK" w:hAnsi="方正仿宋_GBK" w:eastAsia="方正仿宋_GBK" w:cs="方正仿宋_GBK"/>
          <w:color w:val="000000"/>
          <w:kern w:val="0"/>
          <w:sz w:val="32"/>
          <w:szCs w:val="32"/>
          <w:u w:val="none" w:color="auto"/>
          <w:shd w:val="clear" w:color="auto" w:fill="FFFFFF"/>
          <w:lang w:bidi="ar"/>
        </w:rPr>
        <w:t>采用吊脚、退台、错台等方式合理处理自然高差，形成错落有致</w:t>
      </w:r>
      <w:r>
        <w:rPr>
          <w:rFonts w:hint="eastAsia" w:ascii="方正仿宋_GBK" w:hAnsi="方正仿宋_GBK" w:eastAsia="方正仿宋_GBK" w:cs="方正仿宋_GBK"/>
          <w:color w:val="000000"/>
          <w:kern w:val="0"/>
          <w:sz w:val="32"/>
          <w:szCs w:val="32"/>
          <w:u w:val="none" w:color="auto"/>
          <w:shd w:val="clear" w:color="auto" w:fill="FFFFFF"/>
          <w:lang w:eastAsia="zh-CN" w:bidi="ar"/>
        </w:rPr>
        <w:t>、舒适典雅</w:t>
      </w:r>
      <w:r>
        <w:rPr>
          <w:rFonts w:hint="eastAsia" w:ascii="方正仿宋_GBK" w:hAnsi="方正仿宋_GBK" w:eastAsia="方正仿宋_GBK" w:cs="方正仿宋_GBK"/>
          <w:color w:val="000000"/>
          <w:kern w:val="0"/>
          <w:sz w:val="32"/>
          <w:szCs w:val="32"/>
          <w:u w:val="none" w:color="auto"/>
          <w:shd w:val="clear" w:color="auto" w:fill="FFFFFF"/>
          <w:lang w:bidi="ar"/>
        </w:rPr>
        <w:t>的整体</w:t>
      </w:r>
      <w:r>
        <w:rPr>
          <w:rFonts w:hint="eastAsia" w:ascii="方正仿宋_GBK" w:hAnsi="方正仿宋_GBK" w:eastAsia="方正仿宋_GBK" w:cs="方正仿宋_GBK"/>
          <w:color w:val="000000"/>
          <w:kern w:val="0"/>
          <w:sz w:val="32"/>
          <w:szCs w:val="32"/>
          <w:u w:val="none" w:color="auto"/>
          <w:shd w:val="clear" w:color="auto" w:fill="FFFFFF"/>
          <w:lang w:eastAsia="zh-CN" w:bidi="ar"/>
        </w:rPr>
        <w:t>建筑风貌</w:t>
      </w:r>
      <w:r>
        <w:rPr>
          <w:rFonts w:hint="eastAsia" w:ascii="方正仿宋_GBK" w:hAnsi="方正仿宋_GBK" w:eastAsia="方正仿宋_GBK" w:cs="方正仿宋_GBK"/>
          <w:color w:val="000000"/>
          <w:kern w:val="0"/>
          <w:sz w:val="32"/>
          <w:szCs w:val="32"/>
          <w:u w:val="none" w:color="auto"/>
          <w:shd w:val="clear" w:color="auto" w:fill="FFFFFF"/>
          <w:lang w:bidi="ar"/>
        </w:rPr>
        <w:t>。</w:t>
      </w:r>
    </w:p>
    <w:p>
      <w:pPr>
        <w:pStyle w:val="2"/>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color w:val="auto"/>
          <w:spacing w:val="0"/>
          <w:sz w:val="32"/>
          <w:szCs w:val="32"/>
          <w:lang w:val="en-US" w:eastAsia="zh-CN"/>
        </w:rPr>
      </w:pPr>
      <w:r>
        <w:rPr>
          <w:rFonts w:hint="eastAsia" w:ascii="方正楷体_GBK" w:hAnsi="方正楷体_GBK" w:eastAsia="方正楷体_GBK" w:cs="方正楷体_GBK"/>
          <w:color w:val="auto"/>
          <w:spacing w:val="0"/>
          <w:kern w:val="2"/>
          <w:sz w:val="32"/>
          <w:szCs w:val="32"/>
          <w:lang w:val="en-US" w:eastAsia="zh-CN" w:bidi="ar-SA"/>
        </w:rPr>
        <w:t>第十四条</w:t>
      </w:r>
      <w:r>
        <w:rPr>
          <w:rFonts w:hint="eastAsia" w:ascii="方正仿宋_GBK" w:hAnsi="方正仿宋_GBK" w:cs="方正仿宋_GBK"/>
          <w:color w:val="000000"/>
          <w:sz w:val="32"/>
          <w:szCs w:val="32"/>
          <w:u w:val="none" w:color="auto"/>
          <w:shd w:val="clear" w:color="auto" w:fill="FFFFFF"/>
          <w:lang w:val="en-US" w:eastAsia="zh-CN" w:bidi="ar"/>
        </w:rPr>
        <w:t xml:space="preserve">  </w:t>
      </w:r>
      <w:r>
        <w:rPr>
          <w:rFonts w:hint="eastAsia" w:ascii="方正楷体_GBK" w:hAnsi="方正楷体_GBK" w:eastAsia="方正楷体_GBK" w:cs="方正楷体_GBK"/>
          <w:b w:val="0"/>
          <w:bCs w:val="0"/>
          <w:kern w:val="2"/>
          <w:sz w:val="32"/>
          <w:szCs w:val="32"/>
          <w:lang w:val="en-US" w:eastAsia="zh-CN" w:bidi="ar-SA"/>
          <w14:textFill>
            <w14:gradFill>
              <w14:gsLst>
                <w14:gs w14:pos="0">
                  <w14:srgbClr w14:val="FE4444"/>
                </w14:gs>
                <w14:gs w14:pos="100000">
                  <w14:srgbClr w14:val="832B2B"/>
                </w14:gs>
              </w14:gsLst>
              <w14:lin w14:scaled="0"/>
            </w14:gradFill>
          </w14:textFill>
        </w:rPr>
        <w:t>【建筑设计选择】</w:t>
      </w:r>
      <w:r>
        <w:rPr>
          <w:rFonts w:hint="eastAsia" w:ascii="方正仿宋_GBK" w:hAnsi="方正仿宋_GBK" w:eastAsia="方正仿宋_GBK" w:cs="方正仿宋_GBK"/>
          <w:color w:val="auto"/>
          <w:spacing w:val="0"/>
          <w:sz w:val="32"/>
          <w:szCs w:val="32"/>
          <w:lang w:val="en-US" w:eastAsia="zh-CN"/>
        </w:rPr>
        <w:t>按照节地、节水、节能、环保要求，</w:t>
      </w:r>
      <w:r>
        <w:rPr>
          <w:rFonts w:hint="eastAsia" w:ascii="方正仿宋_GBK" w:hAnsi="方正仿宋_GBK" w:cs="方正仿宋_GBK"/>
          <w:color w:val="auto"/>
          <w:spacing w:val="0"/>
          <w:sz w:val="32"/>
          <w:szCs w:val="32"/>
          <w:lang w:val="en-US" w:eastAsia="zh-CN"/>
        </w:rPr>
        <w:t>居民点建筑优先选用</w:t>
      </w:r>
      <w:r>
        <w:rPr>
          <w:rFonts w:hint="eastAsia" w:ascii="方正仿宋_GBK" w:hAnsi="方正仿宋_GBK" w:eastAsia="方正仿宋_GBK" w:cs="方正仿宋_GBK"/>
          <w:color w:val="auto"/>
          <w:spacing w:val="0"/>
          <w:sz w:val="32"/>
          <w:szCs w:val="32"/>
          <w:lang w:val="en-US" w:eastAsia="zh-CN"/>
        </w:rPr>
        <w:t>《大足区农房建设管控导则》</w:t>
      </w:r>
      <w:r>
        <w:rPr>
          <w:rFonts w:hint="eastAsia" w:ascii="方正仿宋_GBK" w:hAnsi="方正仿宋_GBK" w:cs="方正仿宋_GBK"/>
          <w:color w:val="auto"/>
          <w:spacing w:val="0"/>
          <w:sz w:val="32"/>
          <w:szCs w:val="32"/>
          <w:lang w:val="en-US" w:eastAsia="zh-CN"/>
        </w:rPr>
        <w:t>（</w:t>
      </w:r>
      <w:r>
        <w:rPr>
          <w:rFonts w:hint="eastAsia" w:eastAsia="方正仿宋_GBK"/>
          <w:sz w:val="32"/>
          <w:szCs w:val="32"/>
        </w:rPr>
        <w:t>大足</w:t>
      </w:r>
      <w:r>
        <w:rPr>
          <w:rFonts w:hint="eastAsia" w:eastAsia="方正仿宋_GBK"/>
          <w:sz w:val="32"/>
          <w:szCs w:val="32"/>
          <w:lang w:eastAsia="zh-CN"/>
        </w:rPr>
        <w:t>规资</w:t>
      </w:r>
      <w:r>
        <w:rPr>
          <w:rFonts w:hint="eastAsia" w:eastAsia="方正仿宋_GBK"/>
          <w:sz w:val="32"/>
          <w:szCs w:val="32"/>
        </w:rPr>
        <w:t>发</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号</w:t>
      </w:r>
      <w:r>
        <w:rPr>
          <w:rFonts w:hint="eastAsia" w:ascii="方正仿宋_GBK" w:hAnsi="方正仿宋_GBK" w:cs="方正仿宋_GBK"/>
          <w:color w:val="auto"/>
          <w:spacing w:val="0"/>
          <w:sz w:val="32"/>
          <w:szCs w:val="32"/>
          <w:lang w:val="en-US" w:eastAsia="zh-CN"/>
        </w:rPr>
        <w:t>）</w:t>
      </w:r>
      <w:r>
        <w:rPr>
          <w:rFonts w:hint="eastAsia" w:ascii="方正仿宋_GBK" w:hAnsi="方正仿宋_GBK" w:eastAsia="方正仿宋_GBK" w:cs="方正仿宋_GBK"/>
          <w:color w:val="auto"/>
          <w:spacing w:val="0"/>
          <w:sz w:val="32"/>
          <w:szCs w:val="32"/>
          <w:lang w:val="en-US" w:eastAsia="zh-CN"/>
        </w:rPr>
        <w:t>推荐图集</w:t>
      </w:r>
      <w:r>
        <w:rPr>
          <w:rFonts w:hint="eastAsia" w:ascii="方正仿宋_GBK" w:hAnsi="方正仿宋_GBK" w:cs="方正仿宋_GBK"/>
          <w:color w:val="auto"/>
          <w:spacing w:val="0"/>
          <w:sz w:val="32"/>
          <w:szCs w:val="32"/>
          <w:lang w:val="en-US" w:eastAsia="zh-CN"/>
        </w:rPr>
        <w:t>且聘请设计单位开展施工图设计。居民点建房户对建筑设计另有需求的，编制建筑设计专篇，与方案设计同时报批。</w:t>
      </w:r>
    </w:p>
    <w:p>
      <w:pPr>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eastAsia" w:ascii="方正仿宋_GBK" w:hAnsi="方正仿宋_GBK" w:eastAsia="方正仿宋_GBK" w:cs="方正仿宋_GBK"/>
          <w:color w:val="000000"/>
          <w:kern w:val="0"/>
          <w:sz w:val="32"/>
          <w:szCs w:val="32"/>
          <w:u w:val="none" w:color="auto"/>
          <w:shd w:val="clear" w:color="auto" w:fill="FFFFFF"/>
          <w:lang w:bidi="ar"/>
        </w:rPr>
      </w:pPr>
      <w:r>
        <w:rPr>
          <w:rFonts w:hint="eastAsia" w:ascii="方正楷体_GBK" w:hAnsi="方正楷体_GBK" w:eastAsia="方正楷体_GBK" w:cs="方正楷体_GBK"/>
          <w:color w:val="auto"/>
          <w:spacing w:val="0"/>
          <w:sz w:val="32"/>
          <w:szCs w:val="32"/>
          <w:lang w:val="en-US" w:eastAsia="zh-CN"/>
        </w:rPr>
        <w:t xml:space="preserve">第十五条  </w:t>
      </w:r>
      <w:r>
        <w:rPr>
          <w:rFonts w:hint="eastAsia" w:ascii="方正楷体_GBK" w:hAnsi="方正楷体_GBK" w:eastAsia="方正楷体_GBK" w:cs="方正楷体_GBK"/>
          <w:color w:val="auto"/>
          <w:spacing w:val="0"/>
          <w:sz w:val="32"/>
          <w:szCs w:val="32"/>
          <w:lang w:val="en-US" w:eastAsia="zh-CN"/>
          <w14:textFill>
            <w14:gradFill>
              <w14:gsLst>
                <w14:gs w14:pos="0">
                  <w14:srgbClr w14:val="FE4444"/>
                </w14:gs>
                <w14:gs w14:pos="100000">
                  <w14:srgbClr w14:val="832B2B"/>
                </w14:gs>
              </w14:gsLst>
              <w14:lin w14:scaled="0"/>
            </w14:gradFill>
          </w14:textFill>
        </w:rPr>
        <w:t>【建筑文化特征】</w:t>
      </w:r>
      <w:r>
        <w:rPr>
          <w:rFonts w:hint="eastAsia" w:ascii="方正仿宋_GBK" w:hAnsi="方正仿宋_GBK" w:eastAsia="方正仿宋_GBK" w:cs="方正仿宋_GBK"/>
          <w:color w:val="auto"/>
          <w:spacing w:val="0"/>
          <w:sz w:val="32"/>
          <w:szCs w:val="32"/>
          <w:lang w:val="en-US" w:eastAsia="zh-CN"/>
        </w:rPr>
        <w:t>统筹居住、生活、生产等空间布局，着重突出乡土特色和地域特色，在建筑形体、色彩、屋顶、墙体、门窗和装饰等塑造文化元素，传承优秀传统文化。</w:t>
      </w:r>
      <w:r>
        <w:rPr>
          <w:rFonts w:hint="eastAsia" w:ascii="方正仿宋_GBK" w:hAnsi="方正仿宋_GBK" w:eastAsia="方正仿宋_GBK" w:cs="方正仿宋_GBK"/>
          <w:color w:val="000000"/>
          <w:kern w:val="0"/>
          <w:sz w:val="32"/>
          <w:szCs w:val="32"/>
          <w:u w:val="none" w:color="auto"/>
          <w:shd w:val="clear" w:color="auto" w:fill="FFFFFF"/>
          <w:lang w:bidi="ar"/>
        </w:rPr>
        <w:t>传统巴渝民居建筑宜采用穿斗结构</w:t>
      </w:r>
      <w:r>
        <w:rPr>
          <w:rFonts w:hint="eastAsia" w:ascii="方正仿宋_GBK" w:hAnsi="方正仿宋_GBK" w:eastAsia="方正仿宋_GBK" w:cs="方正仿宋_GBK"/>
          <w:color w:val="000000"/>
          <w:kern w:val="0"/>
          <w:sz w:val="32"/>
          <w:szCs w:val="32"/>
          <w:u w:val="none" w:color="auto"/>
          <w:shd w:val="clear" w:color="auto" w:fill="FFFFFF"/>
          <w:lang w:eastAsia="zh-CN" w:bidi="ar"/>
        </w:rPr>
        <w:t>，</w:t>
      </w:r>
      <w:r>
        <w:rPr>
          <w:rFonts w:hint="eastAsia" w:ascii="方正仿宋_GBK" w:hAnsi="方正仿宋_GBK" w:eastAsia="方正仿宋_GBK" w:cs="方正仿宋_GBK"/>
          <w:color w:val="000000"/>
          <w:kern w:val="0"/>
          <w:sz w:val="32"/>
          <w:szCs w:val="32"/>
          <w:u w:val="none" w:color="auto"/>
          <w:shd w:val="clear" w:color="auto" w:fill="FFFFFF"/>
          <w:lang w:bidi="ar"/>
        </w:rPr>
        <w:t>综合运用青砖、木板墙、白墙、毛石墙等展示传统风貌特征</w:t>
      </w:r>
      <w:r>
        <w:rPr>
          <w:rFonts w:hint="eastAsia" w:ascii="方正仿宋_GBK" w:hAnsi="方正仿宋_GBK" w:eastAsia="方正仿宋_GBK" w:cs="方正仿宋_GBK"/>
          <w:color w:val="000000"/>
          <w:kern w:val="0"/>
          <w:sz w:val="32"/>
          <w:szCs w:val="32"/>
          <w:u w:val="none" w:color="auto"/>
          <w:shd w:val="clear" w:color="auto" w:fill="FFFFFF"/>
          <w:lang w:eastAsia="zh-CN" w:bidi="ar"/>
        </w:rPr>
        <w:t>；</w:t>
      </w:r>
      <w:r>
        <w:rPr>
          <w:rFonts w:hint="eastAsia" w:ascii="方正仿宋_GBK" w:hAnsi="方正仿宋_GBK" w:eastAsia="方正仿宋_GBK" w:cs="方正仿宋_GBK"/>
          <w:color w:val="000000"/>
          <w:kern w:val="0"/>
          <w:sz w:val="32"/>
          <w:szCs w:val="32"/>
          <w:u w:val="none" w:color="auto"/>
          <w:shd w:val="clear" w:color="auto" w:fill="FFFFFF"/>
          <w:lang w:bidi="ar"/>
        </w:rPr>
        <w:t>现代</w:t>
      </w:r>
      <w:r>
        <w:rPr>
          <w:rFonts w:hint="eastAsia" w:ascii="方正仿宋_GBK" w:hAnsi="方正仿宋_GBK" w:eastAsia="方正仿宋_GBK" w:cs="方正仿宋_GBK"/>
          <w:color w:val="000000"/>
          <w:kern w:val="0"/>
          <w:sz w:val="32"/>
          <w:szCs w:val="32"/>
          <w:highlight w:val="none"/>
          <w:u w:val="none" w:color="auto"/>
          <w:shd w:val="clear" w:color="auto" w:fill="FFFFFF"/>
          <w:lang w:bidi="ar-SA"/>
        </w:rPr>
        <w:t>巴渝民居建筑墙面符号与构件、分段处理、色彩运用等应汲取</w:t>
      </w:r>
      <w:r>
        <w:rPr>
          <w:rFonts w:hint="eastAsia" w:ascii="方正仿宋_GBK" w:hAnsi="方正仿宋_GBK" w:eastAsia="方正仿宋_GBK" w:cs="方正仿宋_GBK"/>
          <w:color w:val="000000"/>
          <w:kern w:val="0"/>
          <w:sz w:val="32"/>
          <w:szCs w:val="32"/>
          <w:u w:val="none" w:color="auto"/>
          <w:shd w:val="clear" w:color="auto" w:fill="FFFFFF"/>
          <w:lang w:bidi="ar"/>
        </w:rPr>
        <w:t>传统历史建筑要素</w:t>
      </w:r>
      <w:r>
        <w:rPr>
          <w:rFonts w:hint="eastAsia" w:ascii="方正仿宋_GBK" w:hAnsi="方正仿宋_GBK" w:eastAsia="方正仿宋_GBK" w:cs="方正仿宋_GBK"/>
          <w:color w:val="000000"/>
          <w:kern w:val="0"/>
          <w:sz w:val="32"/>
          <w:szCs w:val="32"/>
          <w:u w:val="none" w:color="auto"/>
          <w:shd w:val="clear" w:color="auto" w:fill="FFFFFF"/>
          <w:lang w:eastAsia="zh-CN" w:bidi="ar"/>
        </w:rPr>
        <w:t>，</w:t>
      </w:r>
      <w:r>
        <w:rPr>
          <w:rFonts w:hint="eastAsia" w:ascii="方正仿宋_GBK" w:hAnsi="方正仿宋_GBK" w:eastAsia="方正仿宋_GBK" w:cs="方正仿宋_GBK"/>
          <w:color w:val="000000"/>
          <w:kern w:val="0"/>
          <w:sz w:val="32"/>
          <w:szCs w:val="32"/>
          <w:u w:val="none" w:color="auto"/>
          <w:shd w:val="clear" w:color="auto" w:fill="FFFFFF"/>
          <w:lang w:bidi="ar"/>
        </w:rPr>
        <w:t>体现建筑与环境的和谐共融。</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eastAsia" w:ascii="方正仿宋_GBK" w:hAnsi="方正仿宋_GBK" w:eastAsia="方正仿宋_GBK" w:cs="方正仿宋_GBK"/>
          <w:color w:val="000000"/>
          <w:kern w:val="0"/>
          <w:sz w:val="32"/>
          <w:szCs w:val="32"/>
          <w:u w:val="none" w:color="auto"/>
          <w:shd w:val="clear" w:color="auto" w:fill="FFFFFF"/>
          <w:lang w:val="en-US" w:eastAsia="zh-CN" w:bidi="ar"/>
        </w:rPr>
      </w:pPr>
      <w:r>
        <w:rPr>
          <w:rFonts w:hint="eastAsia" w:ascii="方正楷体_GBK" w:hAnsi="方正楷体_GBK" w:eastAsia="方正楷体_GBK" w:cs="方正楷体_GBK"/>
          <w:color w:val="auto"/>
          <w:spacing w:val="0"/>
          <w:sz w:val="32"/>
          <w:szCs w:val="32"/>
          <w:lang w:val="en-US" w:eastAsia="zh-CN"/>
        </w:rPr>
        <w:t>第十六条</w:t>
      </w:r>
      <w:r>
        <w:rPr>
          <w:rFonts w:hint="eastAsia" w:ascii="方正楷体_GBK" w:hAnsi="方正楷体_GBK" w:eastAsia="方正楷体_GBK" w:cs="方正楷体_GBK"/>
          <w:b w:val="0"/>
          <w:bCs w:val="0"/>
          <w:sz w:val="32"/>
          <w:szCs w:val="32"/>
          <w:lang w:val="en-US" w:eastAsia="zh-CN"/>
        </w:rPr>
        <w:t xml:space="preserve">  </w:t>
      </w:r>
      <w:r>
        <w:rPr>
          <w:rFonts w:hint="eastAsia" w:ascii="方正楷体_GBK" w:hAnsi="方正楷体_GBK" w:eastAsia="方正楷体_GBK" w:cs="方正楷体_GBK"/>
          <w:color w:val="auto"/>
          <w:spacing w:val="0"/>
          <w:sz w:val="32"/>
          <w:szCs w:val="32"/>
          <w:lang w:val="en-US" w:eastAsia="zh-CN"/>
          <w14:textFill>
            <w14:gradFill>
              <w14:gsLst>
                <w14:gs w14:pos="0">
                  <w14:srgbClr w14:val="FE4444"/>
                </w14:gs>
                <w14:gs w14:pos="100000">
                  <w14:srgbClr w14:val="832B2B"/>
                </w14:gs>
              </w14:gsLst>
              <w14:lin w14:scaled="0"/>
            </w14:gradFill>
          </w14:textFill>
        </w:rPr>
        <w:t>【建筑体量控制】</w:t>
      </w:r>
      <w:r>
        <w:rPr>
          <w:rFonts w:hint="eastAsia" w:ascii="方正仿宋_GBK" w:hAnsi="方正仿宋_GBK" w:eastAsia="方正仿宋_GBK" w:cs="方正仿宋_GBK"/>
          <w:color w:val="000000"/>
          <w:kern w:val="0"/>
          <w:sz w:val="32"/>
          <w:szCs w:val="32"/>
          <w:u w:val="none" w:color="auto"/>
          <w:shd w:val="clear" w:color="auto" w:fill="FFFFFF"/>
          <w:lang w:val="en-US" w:eastAsia="zh-CN" w:bidi="ar"/>
        </w:rPr>
        <w:t>居民点建</w:t>
      </w:r>
      <w:r>
        <w:rPr>
          <w:rFonts w:hint="eastAsia" w:ascii="方正仿宋_GBK" w:hAnsi="方正仿宋_GBK" w:eastAsia="方正仿宋_GBK" w:cs="方正仿宋_GBK"/>
          <w:color w:val="000000"/>
          <w:kern w:val="0"/>
          <w:sz w:val="32"/>
          <w:szCs w:val="32"/>
          <w:u w:val="none" w:color="auto"/>
          <w:shd w:val="clear" w:color="auto" w:fill="FFFFFF"/>
          <w:lang w:bidi="ar"/>
        </w:rPr>
        <w:t>筑体量宜小不宜大、宜低不宜高。单体建筑应保持长宽高尺度的良好比例，不应修建体量庞大、横长矮胖、尺度夸张、</w:t>
      </w:r>
      <w:r>
        <w:rPr>
          <w:rFonts w:ascii="方正仿宋_GBK" w:hAnsi="方正仿宋_GBK" w:eastAsia="方正仿宋_GBK" w:cs="方正仿宋_GBK"/>
          <w:color w:val="000000"/>
          <w:kern w:val="0"/>
          <w:sz w:val="32"/>
          <w:szCs w:val="32"/>
          <w:u w:val="none" w:color="auto"/>
          <w:shd w:val="clear" w:color="auto" w:fill="FFFFFF"/>
          <w:lang w:bidi="ar"/>
        </w:rPr>
        <w:t>造型</w:t>
      </w:r>
      <w:r>
        <w:rPr>
          <w:rFonts w:hint="eastAsia" w:ascii="方正仿宋_GBK" w:hAnsi="方正仿宋_GBK" w:eastAsia="方正仿宋_GBK" w:cs="方正仿宋_GBK"/>
          <w:color w:val="000000"/>
          <w:kern w:val="0"/>
          <w:sz w:val="32"/>
          <w:szCs w:val="32"/>
          <w:u w:val="none" w:color="auto"/>
          <w:shd w:val="clear" w:color="auto" w:fill="FFFFFF"/>
          <w:lang w:bidi="ar"/>
        </w:rPr>
        <w:t>奇特的建筑。建筑层数原则上不超过3</w:t>
      </w:r>
      <w:r>
        <w:rPr>
          <w:rFonts w:ascii="方正仿宋_GBK" w:hAnsi="方正仿宋_GBK" w:eastAsia="方正仿宋_GBK" w:cs="方正仿宋_GBK"/>
          <w:color w:val="000000"/>
          <w:kern w:val="0"/>
          <w:sz w:val="32"/>
          <w:szCs w:val="32"/>
          <w:u w:val="none" w:color="auto"/>
          <w:shd w:val="clear" w:color="auto" w:fill="FFFFFF"/>
          <w:lang w:bidi="ar"/>
        </w:rPr>
        <w:t>层</w:t>
      </w:r>
      <w:r>
        <w:rPr>
          <w:rFonts w:hint="eastAsia" w:ascii="方正仿宋_GBK" w:hAnsi="方正仿宋_GBK" w:eastAsia="方正仿宋_GBK" w:cs="方正仿宋_GBK"/>
          <w:color w:val="000000"/>
          <w:kern w:val="0"/>
          <w:sz w:val="32"/>
          <w:szCs w:val="32"/>
          <w:u w:val="none" w:color="auto"/>
          <w:shd w:val="clear" w:color="auto" w:fill="FFFFFF"/>
          <w:lang w:bidi="ar"/>
        </w:rPr>
        <w:t>，建筑高度原则上不超过12米。</w:t>
      </w:r>
      <w:r>
        <w:rPr>
          <w:rFonts w:hint="eastAsia" w:ascii="方正仿宋_GBK" w:hAnsi="方正仿宋_GBK" w:eastAsia="方正仿宋_GBK" w:cs="方正仿宋_GBK"/>
          <w:color w:val="000000"/>
          <w:kern w:val="0"/>
          <w:sz w:val="32"/>
          <w:szCs w:val="32"/>
          <w:u w:val="none" w:color="auto"/>
          <w:shd w:val="clear" w:color="auto" w:fill="FFFFFF"/>
          <w:lang w:eastAsia="zh-CN" w:bidi="ar"/>
        </w:rPr>
        <w:t>因建设用地指标或土地协调难等因素，需增加至</w:t>
      </w:r>
      <w:r>
        <w:rPr>
          <w:rFonts w:hint="eastAsia" w:ascii="方正仿宋_GBK" w:hAnsi="方正仿宋_GBK" w:eastAsia="方正仿宋_GBK" w:cs="方正仿宋_GBK"/>
          <w:color w:val="000000"/>
          <w:kern w:val="0"/>
          <w:sz w:val="32"/>
          <w:szCs w:val="32"/>
          <w:u w:val="none" w:color="auto"/>
          <w:shd w:val="clear" w:color="auto" w:fill="FFFFFF"/>
          <w:lang w:val="en-US" w:eastAsia="zh-CN" w:bidi="ar"/>
        </w:rPr>
        <w:t>4层及以上的</w:t>
      </w:r>
      <w:r>
        <w:rPr>
          <w:rFonts w:hint="eastAsia" w:ascii="方正仿宋_GBK" w:hAnsi="方正仿宋_GBK" w:eastAsia="方正仿宋_GBK" w:cs="方正仿宋_GBK"/>
          <w:color w:val="000000"/>
          <w:kern w:val="0"/>
          <w:sz w:val="32"/>
          <w:szCs w:val="32"/>
          <w:u w:val="none" w:color="auto"/>
          <w:shd w:val="clear" w:color="auto" w:fill="FFFFFF"/>
          <w:lang w:eastAsia="zh-CN" w:bidi="ar"/>
        </w:rPr>
        <w:t>，镇街在方案设计前组织区规划自然资源局、区农业农村委等相关部门专题讨论研究。</w:t>
      </w:r>
    </w:p>
    <w:p>
      <w:pPr>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eastAsia" w:ascii="方正仿宋_GBK" w:hAnsi="方正仿宋_GBK" w:eastAsia="方正仿宋_GBK" w:cs="方正仿宋_GBK"/>
          <w:color w:val="000000"/>
          <w:kern w:val="0"/>
          <w:sz w:val="32"/>
          <w:szCs w:val="32"/>
          <w:u w:val="none" w:color="auto"/>
          <w:shd w:val="clear" w:color="auto" w:fill="FFFFFF"/>
          <w:lang w:bidi="ar"/>
        </w:rPr>
      </w:pPr>
      <w:r>
        <w:rPr>
          <w:rFonts w:hint="eastAsia" w:ascii="方正楷体_GBK" w:hAnsi="方正楷体_GBK" w:eastAsia="方正楷体_GBK" w:cs="方正楷体_GBK"/>
          <w:color w:val="auto"/>
          <w:spacing w:val="0"/>
          <w:sz w:val="32"/>
          <w:szCs w:val="32"/>
          <w:lang w:val="en-US" w:eastAsia="zh-CN"/>
        </w:rPr>
        <w:t xml:space="preserve">第十七条  </w:t>
      </w:r>
      <w:r>
        <w:rPr>
          <w:rFonts w:hint="eastAsia" w:ascii="方正楷体_GBK" w:hAnsi="方正楷体_GBK" w:eastAsia="方正楷体_GBK" w:cs="方正楷体_GBK"/>
          <w:color w:val="auto"/>
          <w:spacing w:val="0"/>
          <w:sz w:val="32"/>
          <w:szCs w:val="32"/>
          <w:lang w:val="en-US" w:eastAsia="zh-CN"/>
          <w14:textFill>
            <w14:gradFill>
              <w14:gsLst>
                <w14:gs w14:pos="0">
                  <w14:srgbClr w14:val="FE4444"/>
                </w14:gs>
                <w14:gs w14:pos="100000">
                  <w14:srgbClr w14:val="832B2B"/>
                </w14:gs>
              </w14:gsLst>
              <w14:lin w14:scaled="0"/>
            </w14:gradFill>
          </w14:textFill>
        </w:rPr>
        <w:t>【建筑材料选择】</w:t>
      </w:r>
      <w:r>
        <w:rPr>
          <w:rFonts w:hint="eastAsia" w:ascii="方正仿宋_GBK" w:hAnsi="方正仿宋_GBK" w:eastAsia="方正仿宋_GBK" w:cs="方正仿宋_GBK"/>
          <w:color w:val="000000"/>
          <w:kern w:val="0"/>
          <w:sz w:val="32"/>
          <w:szCs w:val="32"/>
          <w:u w:val="none" w:color="auto"/>
          <w:shd w:val="clear" w:color="auto" w:fill="FFFFFF"/>
          <w:lang w:val="en-US" w:eastAsia="zh-CN" w:bidi="ar"/>
        </w:rPr>
        <w:t>建筑材料要满足建筑节能、环保要求，尽可能选用乡土材料。</w:t>
      </w:r>
      <w:r>
        <w:rPr>
          <w:rFonts w:hint="eastAsia" w:ascii="方正仿宋_GBK" w:hAnsi="方正仿宋_GBK" w:eastAsia="方正仿宋_GBK" w:cs="方正仿宋_GBK"/>
          <w:color w:val="000000"/>
          <w:kern w:val="0"/>
          <w:sz w:val="32"/>
          <w:szCs w:val="32"/>
          <w:u w:val="none" w:color="auto"/>
          <w:shd w:val="clear" w:color="auto" w:fill="FFFFFF"/>
          <w:lang w:bidi="ar"/>
        </w:rPr>
        <w:t>门窗、栏杆、空调架等应提取传统构建样式并符合现代使用功能，可采用木、素色钢等材料。</w:t>
      </w:r>
    </w:p>
    <w:p>
      <w:pPr>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ascii="方正仿宋_GBK" w:hAnsi="方正仿宋_GBK" w:eastAsia="方正仿宋_GBK" w:cs="方正仿宋_GBK"/>
          <w:sz w:val="32"/>
          <w:szCs w:val="32"/>
          <w:u w:val="none" w:color="auto"/>
        </w:rPr>
      </w:pPr>
      <w:r>
        <w:rPr>
          <w:rFonts w:hint="eastAsia" w:ascii="方正楷体_GBK" w:hAnsi="方正楷体_GBK" w:eastAsia="方正楷体_GBK" w:cs="方正楷体_GBK"/>
          <w:color w:val="auto"/>
          <w:spacing w:val="0"/>
          <w:sz w:val="32"/>
          <w:szCs w:val="32"/>
          <w:lang w:val="en-US" w:eastAsia="zh-CN"/>
        </w:rPr>
        <w:t xml:space="preserve">第十八条  </w:t>
      </w:r>
      <w:r>
        <w:rPr>
          <w:rFonts w:hint="eastAsia" w:ascii="方正楷体_GBK" w:hAnsi="方正楷体_GBK" w:eastAsia="方正楷体_GBK" w:cs="方正楷体_GBK"/>
          <w:color w:val="auto"/>
          <w:spacing w:val="0"/>
          <w:sz w:val="32"/>
          <w:szCs w:val="32"/>
          <w:lang w:val="en-US" w:eastAsia="zh-CN"/>
          <w14:textFill>
            <w14:gradFill>
              <w14:gsLst>
                <w14:gs w14:pos="0">
                  <w14:srgbClr w14:val="FE4444"/>
                </w14:gs>
                <w14:gs w14:pos="100000">
                  <w14:srgbClr w14:val="832B2B"/>
                </w14:gs>
              </w14:gsLst>
              <w14:lin w14:scaled="0"/>
            </w14:gradFill>
          </w14:textFill>
        </w:rPr>
        <w:t>【建筑色彩控制】</w:t>
      </w:r>
      <w:r>
        <w:rPr>
          <w:rFonts w:hint="eastAsia" w:ascii="方正仿宋_GBK" w:hAnsi="方正仿宋_GBK" w:eastAsia="方正仿宋_GBK" w:cs="方正仿宋_GBK"/>
          <w:color w:val="000000"/>
          <w:kern w:val="0"/>
          <w:sz w:val="32"/>
          <w:szCs w:val="32"/>
          <w:u w:val="none" w:color="auto"/>
          <w:shd w:val="clear" w:color="auto" w:fill="FFFFFF"/>
          <w:lang w:val="en-US" w:eastAsia="zh-CN" w:bidi="ar"/>
        </w:rPr>
        <w:t>居民点建</w:t>
      </w:r>
      <w:r>
        <w:rPr>
          <w:rFonts w:hint="eastAsia" w:ascii="方正仿宋_GBK" w:hAnsi="方正仿宋_GBK" w:eastAsia="方正仿宋_GBK" w:cs="方正仿宋_GBK"/>
          <w:color w:val="auto"/>
          <w:spacing w:val="0"/>
          <w:sz w:val="32"/>
          <w:szCs w:val="32"/>
          <w:lang w:val="en-US" w:eastAsia="zh-CN"/>
        </w:rPr>
        <w:t>筑色彩宜直接采用材料本色，将米白、米黄、浅灰作为建筑主体色系，统筹建筑色彩与外部环境的协调性。</w:t>
      </w:r>
      <w:r>
        <w:rPr>
          <w:rFonts w:hint="eastAsia" w:ascii="方正仿宋_GBK" w:hAnsi="方正仿宋_GBK" w:eastAsia="方正仿宋_GBK" w:cs="方正仿宋_GBK"/>
          <w:color w:val="000000"/>
          <w:kern w:val="0"/>
          <w:sz w:val="32"/>
          <w:szCs w:val="32"/>
          <w:u w:val="none" w:color="auto"/>
          <w:lang w:bidi="ar"/>
        </w:rPr>
        <w:t>单栋建筑色彩不宜超过三种，</w:t>
      </w:r>
      <w:r>
        <w:rPr>
          <w:rFonts w:hint="eastAsia" w:ascii="方正仿宋_GBK" w:hAnsi="方正仿宋_GBK" w:eastAsia="方正仿宋_GBK" w:cs="方正仿宋_GBK"/>
          <w:color w:val="000000"/>
          <w:kern w:val="0"/>
          <w:sz w:val="32"/>
          <w:szCs w:val="32"/>
          <w:u w:val="none" w:color="auto"/>
          <w:shd w:val="clear" w:color="auto" w:fill="FFFFFF"/>
          <w:lang w:bidi="ar"/>
        </w:rPr>
        <w:t>不应使用</w:t>
      </w:r>
      <w:r>
        <w:rPr>
          <w:rFonts w:ascii="方正仿宋_GBK" w:hAnsi="方正仿宋_GBK" w:eastAsia="方正仿宋_GBK" w:cs="方正仿宋_GBK"/>
          <w:color w:val="000000"/>
          <w:kern w:val="0"/>
          <w:sz w:val="32"/>
          <w:szCs w:val="32"/>
          <w:u w:val="none" w:color="auto"/>
          <w:shd w:val="clear" w:color="auto" w:fill="FFFFFF"/>
          <w:lang w:bidi="ar"/>
        </w:rPr>
        <w:t>与</w:t>
      </w:r>
      <w:r>
        <w:rPr>
          <w:rFonts w:hint="eastAsia" w:ascii="方正仿宋_GBK" w:hAnsi="方正仿宋_GBK" w:eastAsia="方正仿宋_GBK" w:cs="方正仿宋_GBK"/>
          <w:color w:val="000000"/>
          <w:kern w:val="0"/>
          <w:sz w:val="32"/>
          <w:szCs w:val="32"/>
          <w:u w:val="none" w:color="auto"/>
          <w:shd w:val="clear" w:color="auto" w:fill="FFFFFF"/>
          <w:lang w:bidi="ar"/>
        </w:rPr>
        <w:t>整体风貌不符</w:t>
      </w:r>
      <w:r>
        <w:rPr>
          <w:rFonts w:hint="eastAsia" w:ascii="方正仿宋_GBK" w:hAnsi="方正仿宋_GBK" w:eastAsia="方正仿宋_GBK" w:cs="方正仿宋_GBK"/>
          <w:color w:val="000000"/>
          <w:kern w:val="0"/>
          <w:sz w:val="32"/>
          <w:szCs w:val="32"/>
          <w:u w:val="none" w:color="auto"/>
          <w:lang w:bidi="ar"/>
        </w:rPr>
        <w:t>的过于鲜艳的颜色。坡屋顶宜以青灰色系为主</w:t>
      </w:r>
      <w:r>
        <w:rPr>
          <w:rFonts w:hint="eastAsia" w:ascii="方正仿宋_GBK" w:hAnsi="方正仿宋_GBK" w:eastAsia="方正仿宋_GBK" w:cs="方正仿宋_GBK"/>
          <w:color w:val="000000"/>
          <w:kern w:val="0"/>
          <w:sz w:val="32"/>
          <w:szCs w:val="32"/>
          <w:u w:val="none" w:color="auto"/>
          <w:lang w:eastAsia="zh-CN" w:bidi="ar"/>
        </w:rPr>
        <w:t>，</w:t>
      </w:r>
      <w:r>
        <w:rPr>
          <w:rFonts w:hint="eastAsia" w:ascii="方正仿宋_GBK" w:hAnsi="方正仿宋_GBK" w:eastAsia="方正仿宋_GBK" w:cs="方正仿宋_GBK"/>
          <w:color w:val="000000"/>
          <w:kern w:val="0"/>
          <w:sz w:val="32"/>
          <w:szCs w:val="32"/>
          <w:u w:val="none" w:color="auto"/>
          <w:lang w:bidi="ar"/>
        </w:rPr>
        <w:t>蓝灰色系、褐灰色系为</w:t>
      </w:r>
      <w:r>
        <w:rPr>
          <w:rFonts w:ascii="方正仿宋_GBK" w:hAnsi="方正仿宋_GBK" w:eastAsia="方正仿宋_GBK" w:cs="方正仿宋_GBK"/>
          <w:color w:val="000000"/>
          <w:kern w:val="0"/>
          <w:sz w:val="32"/>
          <w:szCs w:val="32"/>
          <w:u w:val="none" w:color="auto"/>
          <w:lang w:bidi="ar"/>
        </w:rPr>
        <w:t>辅</w:t>
      </w:r>
      <w:r>
        <w:rPr>
          <w:rFonts w:hint="eastAsia" w:ascii="方正仿宋_GBK" w:hAnsi="方正仿宋_GBK" w:eastAsia="方正仿宋_GBK" w:cs="方正仿宋_GBK"/>
          <w:color w:val="000000"/>
          <w:kern w:val="0"/>
          <w:sz w:val="32"/>
          <w:szCs w:val="32"/>
          <w:u w:val="none" w:color="auto"/>
          <w:lang w:bidi="ar"/>
        </w:rPr>
        <w:t>，禁止采用高</w:t>
      </w:r>
      <w:r>
        <w:rPr>
          <w:rFonts w:ascii="方正仿宋_GBK" w:hAnsi="方正仿宋_GBK" w:eastAsia="方正仿宋_GBK" w:cs="方正仿宋_GBK"/>
          <w:color w:val="000000"/>
          <w:kern w:val="0"/>
          <w:sz w:val="32"/>
          <w:szCs w:val="32"/>
          <w:u w:val="none" w:color="auto"/>
          <w:lang w:bidi="ar"/>
        </w:rPr>
        <w:t>饱</w:t>
      </w:r>
      <w:r>
        <w:rPr>
          <w:rFonts w:hint="eastAsia" w:ascii="方正仿宋_GBK" w:hAnsi="方正仿宋_GBK" w:eastAsia="方正仿宋_GBK" w:cs="方正仿宋_GBK"/>
          <w:color w:val="000000"/>
          <w:kern w:val="0"/>
          <w:sz w:val="32"/>
          <w:szCs w:val="32"/>
          <w:u w:val="none" w:color="auto"/>
          <w:lang w:bidi="ar"/>
        </w:rPr>
        <w:t>和度色彩和高反射度材料</w:t>
      </w:r>
      <w:r>
        <w:rPr>
          <w:rFonts w:hint="eastAsia" w:ascii="方正仿宋_GBK" w:hAnsi="方正仿宋_GBK" w:eastAsia="方正仿宋_GBK" w:cs="方正仿宋_GBK"/>
          <w:color w:val="000000"/>
          <w:kern w:val="0"/>
          <w:sz w:val="32"/>
          <w:szCs w:val="32"/>
          <w:u w:val="none" w:color="auto"/>
          <w:lang w:eastAsia="zh-CN" w:bidi="ar"/>
        </w:rPr>
        <w:t>。</w:t>
      </w:r>
      <w:r>
        <w:rPr>
          <w:rFonts w:hint="eastAsia" w:ascii="方正仿宋_GBK" w:hAnsi="方正仿宋_GBK" w:eastAsia="方正仿宋_GBK" w:cs="方正仿宋_GBK"/>
          <w:color w:val="000000"/>
          <w:kern w:val="0"/>
          <w:sz w:val="32"/>
          <w:szCs w:val="32"/>
          <w:u w:val="none" w:color="auto"/>
          <w:lang w:bidi="ar"/>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楷体_GBK" w:hAnsi="方正楷体_GBK" w:eastAsia="方正楷体_GBK" w:cs="方正楷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第五章  乡村建设规划许可审批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eastAsia" w:eastAsia="方正仿宋_GBK"/>
          <w:sz w:val="32"/>
          <w:szCs w:val="32"/>
          <w:lang w:eastAsia="zh-CN"/>
        </w:rPr>
      </w:pPr>
      <w:r>
        <w:rPr>
          <w:rFonts w:hint="eastAsia" w:ascii="方正楷体_GBK" w:hAnsi="方正楷体_GBK" w:eastAsia="方正楷体_GBK" w:cs="方正楷体_GBK"/>
          <w:b w:val="0"/>
          <w:bCs w:val="0"/>
          <w:sz w:val="32"/>
          <w:szCs w:val="32"/>
          <w:lang w:val="en-US" w:eastAsia="zh-CN"/>
        </w:rPr>
        <w:t xml:space="preserve">第十九条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【乡村建设规划许可审批】</w:t>
      </w:r>
      <w:r>
        <w:rPr>
          <w:rFonts w:hint="eastAsia" w:ascii="方正仿宋_GBK" w:hAnsi="方正仿宋_GBK" w:eastAsia="方正仿宋_GBK" w:cs="方正仿宋_GBK"/>
          <w:sz w:val="32"/>
          <w:szCs w:val="32"/>
          <w:lang w:val="en-US" w:eastAsia="zh-CN"/>
        </w:rPr>
        <w:t>区规划自然资源局负责居民点乡村建设规划许可的行政审批。坚持“一窗受理”的原则，居民点申报要件、审批流程按照</w:t>
      </w:r>
      <w:r>
        <w:rPr>
          <w:rFonts w:hint="eastAsia" w:eastAsia="方正仿宋_GBK"/>
          <w:sz w:val="32"/>
          <w:szCs w:val="32"/>
          <w:lang w:eastAsia="zh-CN"/>
        </w:rPr>
        <w:t>《</w:t>
      </w:r>
      <w:r>
        <w:rPr>
          <w:rFonts w:hint="eastAsia" w:eastAsia="方正仿宋_GBK"/>
          <w:sz w:val="32"/>
          <w:szCs w:val="32"/>
          <w:lang w:val="en-US" w:eastAsia="zh-CN"/>
        </w:rPr>
        <w:t>重庆市集体土地上非农村居民住宅建设规划管理办法</w:t>
      </w:r>
      <w:r>
        <w:rPr>
          <w:rFonts w:hint="eastAsia" w:eastAsia="方正仿宋_GBK"/>
          <w:sz w:val="32"/>
          <w:szCs w:val="32"/>
          <w:lang w:eastAsia="zh-CN"/>
        </w:rPr>
        <w:t>》（</w:t>
      </w:r>
      <w:r>
        <w:rPr>
          <w:rFonts w:hint="eastAsia" w:eastAsia="方正仿宋_GBK"/>
          <w:sz w:val="32"/>
          <w:szCs w:val="32"/>
        </w:rPr>
        <w:t>渝规资规范〔2019〕14号</w:t>
      </w:r>
      <w:r>
        <w:rPr>
          <w:rFonts w:hint="eastAsia" w:eastAsia="方正仿宋_GBK"/>
          <w:sz w:val="32"/>
          <w:szCs w:val="32"/>
          <w:lang w:eastAsia="zh-CN"/>
        </w:rPr>
        <w:t>）规定执行。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eastAsia="zh-CN"/>
        </w:rPr>
        <w:t>第</w:t>
      </w:r>
      <w:r>
        <w:rPr>
          <w:rFonts w:hint="eastAsia" w:ascii="方正楷体_GBK" w:hAnsi="方正楷体_GBK" w:eastAsia="方正楷体_GBK" w:cs="方正楷体_GBK"/>
          <w:sz w:val="32"/>
          <w:szCs w:val="32"/>
          <w:lang w:val="en-US" w:eastAsia="zh-CN"/>
        </w:rPr>
        <w:t>二十条</w:t>
      </w:r>
      <w:r>
        <w:rPr>
          <w:rFonts w:hint="eastAsia" w:ascii="方正楷体_GBK" w:hAnsi="方正楷体_GBK" w:eastAsia="方正楷体_GBK" w:cs="方正楷体_GBK"/>
          <w:b w:val="0"/>
          <w:bCs w:val="0"/>
          <w:sz w:val="32"/>
          <w:szCs w:val="32"/>
          <w:lang w:val="en-US" w:eastAsia="zh-CN"/>
        </w:rPr>
        <w:t xml:space="preserve">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【乡村建设规划许可分期办理】</w:t>
      </w:r>
      <w:r>
        <w:rPr>
          <w:rFonts w:hint="eastAsia" w:ascii="方正仿宋_GBK" w:hAnsi="方正仿宋_GBK" w:eastAsia="方正仿宋_GBK" w:cs="方正仿宋_GBK"/>
          <w:sz w:val="32"/>
          <w:szCs w:val="32"/>
          <w:lang w:val="en-US" w:eastAsia="zh-CN"/>
        </w:rPr>
        <w:t>根据建设单位或者个人的申请和土地权属情况，审查分期建设的内容，分期核发乡村建设规划许可证。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第二十一条</w:t>
      </w:r>
      <w:r>
        <w:rPr>
          <w:rFonts w:hint="eastAsia" w:eastAsia="方正仿宋_GBK"/>
          <w:sz w:val="32"/>
          <w:szCs w:val="32"/>
          <w:lang w:val="en-US" w:eastAsia="zh-CN"/>
        </w:rPr>
        <w:t xml:space="preserve">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【乡村建设规划许可证管理】</w:t>
      </w:r>
      <w:r>
        <w:rPr>
          <w:rFonts w:hint="eastAsia" w:ascii="方正仿宋_GBK" w:hAnsi="方正仿宋_GBK" w:eastAsia="方正仿宋_GBK" w:cs="方正仿宋_GBK"/>
          <w:sz w:val="32"/>
          <w:szCs w:val="32"/>
          <w:lang w:val="en-US" w:eastAsia="zh-CN"/>
        </w:rPr>
        <w:t>居民点建设取得乡村建设规划许可证之日起一年内未进行建设，且未经批准延期的，乡村建设规划许可证失效。申请延期应当在期限届满三十日前向原审批机关提出。经批准延期的，其延长期限不得超过一年。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default" w:ascii="方正楷体_GBK" w:hAnsi="方正楷体_GBK" w:eastAsia="方正楷体_GBK" w:cs="方正楷体_GBK"/>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楷体_GBK" w:hAnsi="方正楷体_GBK" w:eastAsia="方正楷体_GBK" w:cs="方正楷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第六章  居民点施工管理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2"/>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第二十二条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【施工许可管理】</w:t>
      </w:r>
      <w:r>
        <w:rPr>
          <w:rFonts w:hint="eastAsia" w:ascii="方正仿宋_GBK" w:hAnsi="方正仿宋_GBK" w:eastAsia="方正仿宋_GBK" w:cs="方正仿宋_GBK"/>
          <w:sz w:val="32"/>
          <w:szCs w:val="32"/>
          <w:lang w:val="en-US" w:eastAsia="zh-CN"/>
        </w:rPr>
        <w:t>居民点的单幢住宅建筑在4层及以上或者建筑面积500平方米以上；</w:t>
      </w:r>
      <w:r>
        <w:rPr>
          <w:rFonts w:hint="eastAsia" w:ascii="方正仿宋_GBK" w:hAnsi="方正仿宋_GBK" w:eastAsia="方正仿宋_GBK" w:cs="方正仿宋_GBK"/>
          <w:b/>
          <w:bCs/>
          <w:sz w:val="32"/>
          <w:szCs w:val="32"/>
          <w:u w:val="wave"/>
          <w:lang w:val="en-US" w:eastAsia="zh-CN"/>
          <w14:textFill>
            <w14:gradFill>
              <w14:gsLst>
                <w14:gs w14:pos="0">
                  <w14:srgbClr w14:val="FE4444"/>
                </w14:gs>
                <w14:gs w14:pos="100000">
                  <w14:srgbClr w14:val="832B2B"/>
                </w14:gs>
              </w14:gsLst>
              <w14:lin w14:scaled="0"/>
            </w14:gradFill>
          </w14:textFill>
        </w:rPr>
        <w:t>以及投资额在100万元以上或建筑面积在500平方米以上的公共建筑，</w:t>
      </w:r>
      <w:r>
        <w:rPr>
          <w:rFonts w:hint="eastAsia" w:ascii="方正仿宋_GBK" w:hAnsi="方正仿宋_GBK" w:eastAsia="方正仿宋_GBK" w:cs="方正仿宋_GBK"/>
          <w:sz w:val="32"/>
          <w:szCs w:val="32"/>
          <w:lang w:val="en-US" w:eastAsia="zh-CN"/>
        </w:rPr>
        <w:t>应当按照法律法规办理建设工程施工许可证。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2"/>
        <w:jc w:val="both"/>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第二十三条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【施工队伍的选择】</w:t>
      </w:r>
      <w:r>
        <w:rPr>
          <w:rFonts w:hint="eastAsia" w:ascii="方正仿宋_GBK" w:hAnsi="方正仿宋_GBK" w:eastAsia="方正仿宋_GBK" w:cs="方正仿宋_GBK"/>
          <w:sz w:val="32"/>
          <w:szCs w:val="32"/>
          <w:lang w:val="en-US" w:eastAsia="zh-CN"/>
        </w:rPr>
        <w:t>居民点建房居民或居民代表小组集体选择施工企业或者农村建筑工匠。施工企业或者农村建筑工匠，应当与建房居民约定建设的要求、期限和范围，明确双方的权利义务。鼓励签订由市住房城乡建委制定的格式合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第二十四条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【施工质量安全管理】</w:t>
      </w:r>
      <w:r>
        <w:rPr>
          <w:rFonts w:hint="eastAsia" w:ascii="方正仿宋_GBK" w:hAnsi="方正仿宋_GBK" w:eastAsia="方正仿宋_GBK" w:cs="方正仿宋_GBK"/>
          <w:sz w:val="32"/>
          <w:szCs w:val="32"/>
          <w:lang w:val="en-US" w:eastAsia="zh-CN"/>
        </w:rPr>
        <w:t>居民点建房居民应当组建质量安全监督小组，并与施工企业或者农村建筑工匠约定工程质量安全责任。施工企业或者农村建筑工匠严禁使用不符合质量安全要求的建筑材料、建筑构件和明令禁止的淘汰落后技术，对建筑工程质量承担保修责任。行业主管部门、镇街应当提供技术指导和咨询服务，加强建设质量巡查检查和督促整改。已办理工程施工许可证的建筑按有关规定组织施工过程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 xml:space="preserve">第二十五条 </w:t>
      </w:r>
      <w:r>
        <w:rPr>
          <w:rFonts w:hint="eastAsia" w:ascii="方正仿宋_GBK" w:hAnsi="方正仿宋_GBK" w:eastAsia="方正仿宋_GBK" w:cs="方正仿宋_GBK"/>
          <w:sz w:val="32"/>
          <w:szCs w:val="32"/>
          <w:lang w:val="en-US" w:eastAsia="zh-CN"/>
        </w:rPr>
        <w:t xml:space="preserve"> </w:t>
      </w:r>
      <w:r>
        <w:rPr>
          <w:rFonts w:hint="eastAsia" w:ascii="方正楷体_GBK" w:hAnsi="方正楷体_GBK" w:eastAsia="方正楷体_GBK" w:cs="方正楷体_GBK"/>
          <w:sz w:val="32"/>
          <w:szCs w:val="32"/>
          <w:lang w:val="en-US" w:eastAsia="zh-CN"/>
          <w14:textFill>
            <w14:gradFill>
              <w14:gsLst>
                <w14:gs w14:pos="0">
                  <w14:srgbClr w14:val="FE4444"/>
                </w14:gs>
                <w14:gs w14:pos="100000">
                  <w14:srgbClr w14:val="832B2B"/>
                </w14:gs>
              </w14:gsLst>
              <w14:lin w14:scaled="0"/>
            </w14:gradFill>
          </w14:textFill>
        </w:rPr>
        <w:t>【居民点住宅验收管理】</w:t>
      </w:r>
      <w:r>
        <w:rPr>
          <w:rFonts w:hint="eastAsia" w:ascii="方正仿宋_GBK" w:hAnsi="方正仿宋_GBK" w:eastAsia="方正仿宋_GBK" w:cs="方正仿宋_GBK"/>
          <w:sz w:val="32"/>
          <w:szCs w:val="32"/>
          <w:lang w:val="en-US" w:eastAsia="zh-CN"/>
        </w:rPr>
        <w:t>居民点的住宅建筑竣工验收由建房居民组织，镇街、村委（社区居委）、施工企业或者农村建筑工匠等参加。因施工质量导致竣工验收不合格的，农村建筑工匠或者施工企业应当负责整改。对办理建设工程施工许可证的住宅建筑、公共建筑按有关规定组织工程联合验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jc w:val="both"/>
        <w:textAlignment w:val="auto"/>
        <w:rPr>
          <w:rFonts w:hint="default"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 xml:space="preserve">第二十六条  </w:t>
      </w:r>
      <w:r>
        <w:rPr>
          <w:rFonts w:hint="eastAsia" w:ascii="方正楷体_GBK" w:hAnsi="方正楷体_GBK" w:eastAsia="方正楷体_GBK" w:cs="方正楷体_GBK"/>
          <w:sz w:val="32"/>
          <w:szCs w:val="32"/>
          <w:lang w:val="en-US" w:eastAsia="zh-CN"/>
          <w14:textFill>
            <w14:gradFill>
              <w14:gsLst>
                <w14:gs w14:pos="0">
                  <w14:srgbClr w14:val="FE4444"/>
                </w14:gs>
                <w14:gs w14:pos="100000">
                  <w14:srgbClr w14:val="832B2B"/>
                </w14:gs>
              </w14:gsLst>
              <w14:lin w14:scaled="0"/>
            </w14:gradFill>
          </w14:textFill>
        </w:rPr>
        <w:t>【居民点规划核实】</w:t>
      </w:r>
      <w:r>
        <w:rPr>
          <w:rFonts w:hint="eastAsia" w:ascii="方正仿宋_GBK" w:hAnsi="方正仿宋_GBK" w:eastAsia="方正仿宋_GBK" w:cs="方正仿宋_GBK"/>
          <w:sz w:val="32"/>
          <w:szCs w:val="32"/>
          <w:lang w:val="en-US" w:eastAsia="zh-CN"/>
        </w:rPr>
        <w:t>对不需办理建设工程施工许可证的，居民点工程竣工验收合格后，建房居民根据《重庆市集体土地上非农村居民住宅建设规划管理办法》（渝规资规范〔2019〕14号）文件规定，向区规划自然资源局提出居民点建筑竣工规划核实申请。通过竣工规划核实的，方可办理房屋产权登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楷体_GBK" w:hAnsi="方正楷体_GBK" w:eastAsia="方正楷体_GBK" w:cs="方正楷体_GBK"/>
          <w:b w:val="0"/>
          <w:bCs w:val="0"/>
          <w:sz w:val="32"/>
          <w:szCs w:val="32"/>
          <w:lang w:val="en-US" w:eastAsia="zh-CN"/>
        </w:rPr>
        <w:t xml:space="preserve">第二十七条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【公共建筑施工管理】</w:t>
      </w:r>
      <w:r>
        <w:rPr>
          <w:rFonts w:hint="eastAsia" w:ascii="方正仿宋_GBK" w:hAnsi="方正仿宋_GBK" w:eastAsia="方正仿宋_GBK" w:cs="方正仿宋_GBK"/>
          <w:sz w:val="32"/>
          <w:szCs w:val="32"/>
          <w:lang w:val="en-US" w:eastAsia="zh-CN"/>
        </w:rPr>
        <w:t>建设项目的配套设施应当优先或者同步实施。公共建筑按有关规定和程序确定施工企业。</w:t>
      </w:r>
      <w:r>
        <w:rPr>
          <w:rFonts w:hint="eastAsia" w:ascii="方正仿宋_GBK" w:eastAsia="方正仿宋_GBK"/>
          <w:sz w:val="32"/>
          <w:szCs w:val="32"/>
          <w:lang w:eastAsia="zh-CN"/>
        </w:rPr>
        <w:t>公共建筑</w:t>
      </w:r>
      <w:r>
        <w:rPr>
          <w:rFonts w:hint="eastAsia" w:ascii="方正仿宋_GBK" w:hAnsi="方正仿宋_GBK" w:eastAsia="方正仿宋_GBK" w:cs="方正仿宋_GBK"/>
          <w:sz w:val="32"/>
          <w:szCs w:val="32"/>
          <w:lang w:val="en-US" w:eastAsia="zh-CN"/>
        </w:rPr>
        <w:t>由建设单位组织开展工程竣工验收。经工程联合验收合格后方可投入使用。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第七章  公共设施配套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方正仿宋_GBK" w:hAnsi="方正仿宋_GBK" w:eastAsia="方正仿宋_GBK" w:cs="方正仿宋_GBK"/>
          <w:kern w:val="2"/>
          <w:sz w:val="32"/>
          <w:szCs w:val="32"/>
          <w:lang w:val="en-US" w:eastAsia="zh-CN" w:bidi="ar-SA"/>
        </w:rPr>
      </w:pPr>
      <w:r>
        <w:rPr>
          <w:rFonts w:hint="eastAsia" w:ascii="方正楷体_GBK" w:hAnsi="方正楷体_GBK" w:eastAsia="方正楷体_GBK" w:cs="方正楷体_GBK"/>
          <w:b w:val="0"/>
          <w:bCs w:val="0"/>
          <w:sz w:val="32"/>
          <w:szCs w:val="32"/>
          <w:lang w:val="en-US" w:eastAsia="zh-CN"/>
        </w:rPr>
        <w:t xml:space="preserve">第二十八条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【公共空间塑造】</w:t>
      </w:r>
      <w:r>
        <w:rPr>
          <w:rFonts w:hint="eastAsia" w:ascii="方正仿宋_GBK" w:hAnsi="方正仿宋_GBK" w:eastAsia="方正仿宋_GBK" w:cs="方正仿宋_GBK"/>
          <w:kern w:val="2"/>
          <w:sz w:val="32"/>
          <w:szCs w:val="32"/>
          <w:lang w:val="en-US" w:eastAsia="zh-CN" w:bidi="ar-SA"/>
        </w:rPr>
        <w:t>居民点建设要满足居民生产、生活需要，按照规定配套建设微广场、微公园等公共休憩空间。居民点绿地等指标符合规定，绿化种植尽可能选用</w:t>
      </w:r>
      <w:r>
        <w:rPr>
          <w:rFonts w:hint="eastAsia" w:ascii="方正仿宋_GBK" w:hAnsi="方正仿宋_GBK" w:eastAsia="方正仿宋_GBK" w:cs="方正仿宋_GBK"/>
          <w:color w:val="000000"/>
          <w:kern w:val="0"/>
          <w:sz w:val="32"/>
          <w:szCs w:val="32"/>
          <w:u w:val="none" w:color="auto"/>
          <w:shd w:val="clear" w:color="auto" w:fill="FFFFFF"/>
          <w:lang w:val="en-US" w:eastAsia="zh-CN" w:bidi="ar"/>
        </w:rPr>
        <w:t>本土植物</w:t>
      </w:r>
      <w:r>
        <w:rPr>
          <w:rFonts w:hint="eastAsia" w:ascii="方正仿宋_GBK" w:hAnsi="方正仿宋_GBK" w:eastAsia="方正仿宋_GBK" w:cs="方正仿宋_GBK"/>
          <w:kern w:val="2"/>
          <w:sz w:val="32"/>
          <w:szCs w:val="32"/>
          <w:lang w:val="en-US" w:eastAsia="zh-CN" w:bidi="ar-SA"/>
        </w:rPr>
        <w:t>。强化居民点文化植入，展现农耕文化和地方特色文化。</w:t>
      </w:r>
      <w:r>
        <w:rPr>
          <w:rFonts w:hint="eastAsia" w:ascii="方正仿宋_GBK" w:hAnsi="方正仿宋_GBK" w:eastAsia="方正仿宋_GBK" w:cs="方正仿宋_GBK"/>
          <w:kern w:val="2"/>
          <w:sz w:val="32"/>
          <w:szCs w:val="32"/>
          <w:lang w:val="en-US" w:eastAsia="zh-CN" w:bidi="ar-SA"/>
        </w:rPr>
        <w:br w:type="textWrapping"/>
      </w:r>
      <w:r>
        <w:rPr>
          <w:rFonts w:hint="eastAsia" w:ascii="方正仿宋_GBK" w:hAnsi="方正仿宋_GBK" w:eastAsia="方正仿宋_GBK" w:cs="方正仿宋_GBK"/>
          <w:kern w:val="2"/>
          <w:sz w:val="32"/>
          <w:szCs w:val="32"/>
          <w:lang w:val="en-US" w:eastAsia="zh-CN" w:bidi="ar-SA"/>
        </w:rPr>
        <w:t xml:space="preserve">  </w:t>
      </w:r>
      <w:r>
        <w:rPr>
          <w:rFonts w:hint="eastAsia" w:ascii="方正楷体_GBK" w:hAnsi="方正楷体_GBK" w:eastAsia="方正楷体_GBK" w:cs="方正楷体_GBK"/>
          <w:kern w:val="2"/>
          <w:sz w:val="32"/>
          <w:szCs w:val="32"/>
          <w:lang w:val="en-US" w:eastAsia="zh-CN" w:bidi="ar-SA"/>
        </w:rPr>
        <w:t xml:space="preserve">  第二十九条  </w:t>
      </w:r>
      <w:r>
        <w:rPr>
          <w:rFonts w:hint="eastAsia" w:ascii="方正楷体_GBK" w:hAnsi="方正楷体_GBK" w:eastAsia="方正楷体_GBK" w:cs="方正楷体_GBK"/>
          <w:kern w:val="2"/>
          <w:sz w:val="32"/>
          <w:szCs w:val="32"/>
          <w:lang w:val="en-US" w:eastAsia="zh-CN" w:bidi="ar-SA"/>
          <w14:textFill>
            <w14:gradFill>
              <w14:gsLst>
                <w14:gs w14:pos="0">
                  <w14:srgbClr w14:val="FE4444"/>
                </w14:gs>
                <w14:gs w14:pos="100000">
                  <w14:srgbClr w14:val="832B2B"/>
                </w14:gs>
              </w14:gsLst>
              <w14:lin w14:scaled="0"/>
            </w14:gradFill>
          </w14:textFill>
        </w:rPr>
        <w:t>【公共设施配套】</w:t>
      </w:r>
      <w:r>
        <w:rPr>
          <w:rFonts w:hint="eastAsia" w:ascii="方正仿宋_GBK" w:hAnsi="方正仿宋_GBK" w:eastAsia="方正仿宋_GBK" w:cs="方正仿宋_GBK"/>
          <w:kern w:val="2"/>
          <w:sz w:val="32"/>
          <w:szCs w:val="32"/>
          <w:lang w:val="en-US" w:eastAsia="zh-CN" w:bidi="ar-SA"/>
        </w:rPr>
        <w:t>居民点应当完善道路、供电、供水、燃气、通信、广播电视、停车位等公用设施。根据居民点规模完善文化体育、建筑消防、防灾减灾等公共服务设施建设。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2"/>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楷体_GBK" w:hAnsi="方正楷体_GBK" w:eastAsia="方正楷体_GBK" w:cs="方正楷体_GBK"/>
          <w:b w:val="0"/>
          <w:bCs w:val="0"/>
          <w:sz w:val="32"/>
          <w:szCs w:val="32"/>
          <w:lang w:val="en-US" w:eastAsia="zh-CN"/>
        </w:rPr>
        <w:t>第三十条</w:t>
      </w:r>
      <w:r>
        <w:rPr>
          <w:rFonts w:hint="eastAsia" w:ascii="方正楷体_GBK" w:hAnsi="方正楷体_GBK" w:eastAsia="方正楷体_GBK" w:cs="方正楷体_GBK"/>
          <w:kern w:val="2"/>
          <w:sz w:val="32"/>
          <w:szCs w:val="32"/>
          <w:lang w:val="en-US" w:eastAsia="zh-CN" w:bidi="ar-SA"/>
        </w:rPr>
        <w:t xml:space="preserve">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【排水设施建设】</w:t>
      </w:r>
      <w:r>
        <w:rPr>
          <w:rFonts w:hint="eastAsia" w:ascii="方正仿宋_GBK" w:hAnsi="方正仿宋_GBK" w:eastAsia="方正仿宋_GBK" w:cs="方正仿宋_GBK"/>
          <w:kern w:val="2"/>
          <w:sz w:val="32"/>
          <w:szCs w:val="32"/>
          <w:lang w:val="en-US" w:eastAsia="zh-CN" w:bidi="ar-SA"/>
        </w:rPr>
        <w:t>根据居民点建设规模合理确定生活污水排放标准，配建居民点污水处理设施，做到污水达标排放。污水处理设施与建筑同设计、同施工、同交付使用。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eastAsia="方正仿宋_GBK"/>
          <w:sz w:val="32"/>
          <w:szCs w:val="32"/>
        </w:rPr>
      </w:pPr>
      <w:r>
        <w:rPr>
          <w:rFonts w:hint="eastAsia" w:ascii="方正楷体_GBK" w:hAnsi="方正楷体_GBK" w:eastAsia="方正楷体_GBK" w:cs="方正楷体_GBK"/>
          <w:b w:val="0"/>
          <w:bCs w:val="0"/>
          <w:sz w:val="32"/>
          <w:szCs w:val="32"/>
          <w:lang w:val="en-US" w:eastAsia="zh-CN"/>
        </w:rPr>
        <w:t>第三十一条</w:t>
      </w:r>
      <w:r>
        <w:rPr>
          <w:rFonts w:hint="eastAsia" w:ascii="方正楷体_GBK" w:hAnsi="方正楷体_GBK" w:eastAsia="方正楷体_GBK" w:cs="方正楷体_GBK"/>
          <w:kern w:val="2"/>
          <w:sz w:val="32"/>
          <w:szCs w:val="32"/>
          <w:lang w:val="en-US" w:eastAsia="zh-CN" w:bidi="ar-SA"/>
        </w:rPr>
        <w:t xml:space="preserve">  </w:t>
      </w:r>
      <w:r>
        <w:rPr>
          <w:rFonts w:hint="eastAsia" w:ascii="方正楷体_GBK" w:hAnsi="方正楷体_GBK" w:eastAsia="方正楷体_GBK" w:cs="方正楷体_GBK"/>
          <w:b w:val="0"/>
          <w:bCs w:val="0"/>
          <w:sz w:val="32"/>
          <w:szCs w:val="32"/>
          <w:lang w:val="en-US" w:eastAsia="zh-CN"/>
          <w14:textFill>
            <w14:gradFill>
              <w14:gsLst>
                <w14:gs w14:pos="0">
                  <w14:srgbClr w14:val="FE4444"/>
                </w14:gs>
                <w14:gs w14:pos="100000">
                  <w14:srgbClr w14:val="832B2B"/>
                </w14:gs>
              </w14:gsLst>
              <w14:lin w14:scaled="0"/>
            </w14:gradFill>
          </w14:textFill>
        </w:rPr>
        <w:t>【垃圾收运处理】</w:t>
      </w:r>
      <w:r>
        <w:rPr>
          <w:rFonts w:hint="eastAsia" w:ascii="方正仿宋_GBK" w:hAnsi="方正仿宋_GBK" w:eastAsia="方正仿宋_GBK" w:cs="方正仿宋_GBK"/>
          <w:kern w:val="2"/>
          <w:sz w:val="32"/>
          <w:szCs w:val="32"/>
          <w:lang w:val="en-US" w:eastAsia="zh-CN" w:bidi="ar-SA"/>
        </w:rPr>
        <w:t>居民点配套建设生活</w:t>
      </w:r>
      <w:r>
        <w:rPr>
          <w:rFonts w:hint="eastAsia" w:ascii="方正仿宋_GBK" w:eastAsia="方正仿宋_GBK"/>
          <w:sz w:val="32"/>
          <w:szCs w:val="32"/>
        </w:rPr>
        <w:t>垃圾分类</w:t>
      </w:r>
      <w:r>
        <w:rPr>
          <w:rFonts w:hint="eastAsia" w:ascii="方正仿宋_GBK" w:eastAsia="方正仿宋_GBK"/>
          <w:sz w:val="32"/>
          <w:szCs w:val="32"/>
          <w:lang w:eastAsia="zh-CN"/>
        </w:rPr>
        <w:t>等环卫设施。镇街要指导建立居民点居民自治组织，完善农村居民点垃圾</w:t>
      </w:r>
      <w:r>
        <w:rPr>
          <w:rFonts w:hint="eastAsia" w:ascii="方正仿宋_GBK" w:eastAsia="方正仿宋_GBK"/>
          <w:sz w:val="32"/>
          <w:szCs w:val="32"/>
        </w:rPr>
        <w:t>收</w:t>
      </w:r>
      <w:r>
        <w:rPr>
          <w:rFonts w:hint="eastAsia" w:ascii="方正仿宋_GBK" w:eastAsia="方正仿宋_GBK"/>
          <w:sz w:val="32"/>
          <w:szCs w:val="32"/>
          <w:lang w:eastAsia="zh-CN"/>
        </w:rPr>
        <w:t>集、转运、处理等管理机制，</w:t>
      </w:r>
      <w:r>
        <w:rPr>
          <w:rFonts w:hint="eastAsia" w:ascii="方正仿宋_GBK" w:eastAsia="方正仿宋_GBK"/>
          <w:sz w:val="32"/>
          <w:szCs w:val="32"/>
        </w:rPr>
        <w:t>实现垃圾减量化、无害化、资源化。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方正仿宋_GBK" w:hAnsi="方正仿宋_GBK" w:eastAsia="方正仿宋_GBK" w:cs="方正仿宋_GBK"/>
          <w:kern w:val="2"/>
          <w:sz w:val="32"/>
          <w:szCs w:val="32"/>
          <w:lang w:val="en-US" w:eastAsia="zh-CN" w:bidi="ar-SA"/>
        </w:rPr>
      </w:pPr>
      <w:r>
        <w:rPr>
          <w:rFonts w:hint="eastAsia" w:ascii="方正楷体_GBK" w:hAnsi="方正楷体_GBK" w:eastAsia="方正楷体_GBK" w:cs="方正楷体_GBK"/>
          <w:sz w:val="32"/>
          <w:szCs w:val="32"/>
          <w:lang w:eastAsia="zh-CN"/>
        </w:rPr>
        <w:t>第</w:t>
      </w:r>
      <w:r>
        <w:rPr>
          <w:rFonts w:hint="eastAsia" w:ascii="方正楷体_GBK" w:hAnsi="方正楷体_GBK" w:eastAsia="方正楷体_GBK" w:cs="方正楷体_GBK"/>
          <w:sz w:val="32"/>
          <w:szCs w:val="32"/>
          <w:lang w:val="en-US" w:eastAsia="zh-CN"/>
        </w:rPr>
        <w:t xml:space="preserve">三十二条  </w:t>
      </w:r>
      <w:r>
        <w:rPr>
          <w:rFonts w:hint="eastAsia" w:ascii="方正楷体_GBK" w:hAnsi="方正楷体_GBK" w:eastAsia="方正楷体_GBK" w:cs="方正楷体_GBK"/>
          <w:sz w:val="32"/>
          <w:szCs w:val="32"/>
          <w:lang w:val="en-US" w:eastAsia="zh-CN"/>
          <w14:textFill>
            <w14:gradFill>
              <w14:gsLst>
                <w14:gs w14:pos="0">
                  <w14:srgbClr w14:val="FE4444"/>
                </w14:gs>
                <w14:gs w14:pos="100000">
                  <w14:srgbClr w14:val="832B2B"/>
                </w14:gs>
              </w14:gsLst>
              <w14:lin w14:scaled="0"/>
            </w14:gradFill>
          </w14:textFill>
        </w:rPr>
        <w:t>【公共配套项目费用分摊】</w:t>
      </w:r>
      <w:r>
        <w:rPr>
          <w:rFonts w:hint="eastAsia" w:ascii="方正仿宋_GBK" w:hAnsi="方正仿宋_GBK" w:eastAsia="方正仿宋_GBK" w:cs="方正仿宋_GBK"/>
          <w:kern w:val="2"/>
          <w:sz w:val="32"/>
          <w:szCs w:val="32"/>
          <w:lang w:val="en-US" w:eastAsia="zh-CN" w:bidi="ar-SA"/>
        </w:rPr>
        <w:t>居民点红线范围的公共设施配套建设项目，建房居民共同确定施工企业并组织实施。镇街应当组织建房居民签订共同承担公共设施配套建设项目筹资协议，明确每户承担比例和支付要求等。筹资协议作为方案设计附件一并报批。</w:t>
      </w:r>
    </w:p>
    <w:p>
      <w:pPr>
        <w:pStyle w:val="2"/>
        <w:keepNext w:val="0"/>
        <w:keepLines w:val="0"/>
        <w:pageBreakBefore w:val="0"/>
        <w:kinsoku/>
        <w:wordWrap/>
        <w:overflowPunct/>
        <w:topLinePunct w:val="0"/>
        <w:autoSpaceDE/>
        <w:autoSpaceDN/>
        <w:bidi w:val="0"/>
        <w:adjustRightInd/>
        <w:snapToGrid/>
        <w:spacing w:line="600" w:lineRule="exact"/>
        <w:textAlignment w:val="auto"/>
        <w:rPr>
          <w:rFonts w:hint="default"/>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第八章  附 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eastAsia="方正仿宋_GBK" w:asciiTheme="minorHAnsi" w:hAnsiTheme="minorHAnsi" w:cstheme="minorBidi"/>
          <w:kern w:val="2"/>
          <w:sz w:val="32"/>
          <w:szCs w:val="32"/>
          <w:lang w:val="en-US" w:eastAsia="zh-CN" w:bidi="ar-SA"/>
        </w:rPr>
      </w:pPr>
      <w:r>
        <w:rPr>
          <w:rFonts w:hint="eastAsia" w:ascii="方正楷体_GBK" w:hAnsi="方正楷体_GBK" w:eastAsia="方正楷体_GBK" w:cs="方正楷体_GBK"/>
          <w:color w:val="auto"/>
          <w:sz w:val="32"/>
          <w:szCs w:val="32"/>
          <w:lang w:val="en-US" w:eastAsia="zh-CN"/>
        </w:rPr>
        <w:t>第三十三条</w:t>
      </w:r>
      <w:r>
        <w:rPr>
          <w:rFonts w:hint="eastAsia" w:ascii="方正楷体_GBK" w:hAnsi="方正楷体_GBK" w:eastAsia="方正楷体_GBK" w:cs="方正楷体_GBK"/>
          <w:kern w:val="2"/>
          <w:sz w:val="32"/>
          <w:szCs w:val="32"/>
          <w:lang w:val="en-US" w:eastAsia="zh-CN" w:bidi="ar-SA"/>
        </w:rPr>
        <w:t xml:space="preserve">  </w:t>
      </w:r>
      <w:r>
        <w:rPr>
          <w:rFonts w:hint="eastAsia" w:ascii="方正楷体_GBK" w:hAnsi="方正楷体_GBK" w:eastAsia="方正楷体_GBK" w:cs="方正楷体_GBK"/>
          <w:b w:val="0"/>
          <w:bCs w:val="0"/>
          <w:kern w:val="2"/>
          <w:sz w:val="32"/>
          <w:szCs w:val="32"/>
          <w:lang w:val="en-US" w:eastAsia="zh-CN" w:bidi="ar-SA"/>
          <w14:textFill>
            <w14:gradFill>
              <w14:gsLst>
                <w14:gs w14:pos="0">
                  <w14:srgbClr w14:val="FE4444"/>
                </w14:gs>
                <w14:gs w14:pos="100000">
                  <w14:srgbClr w14:val="832B2B"/>
                </w14:gs>
              </w14:gsLst>
              <w14:lin w14:scaled="0"/>
            </w14:gradFill>
          </w14:textFill>
        </w:rPr>
        <w:t>【创新试点示范】</w:t>
      </w:r>
      <w:r>
        <w:rPr>
          <w:rFonts w:hint="eastAsia" w:eastAsia="方正仿宋_GBK" w:asciiTheme="minorHAnsi" w:hAnsiTheme="minorHAnsi" w:cstheme="minorBidi"/>
          <w:kern w:val="2"/>
          <w:sz w:val="32"/>
          <w:szCs w:val="32"/>
          <w:lang w:val="en-US" w:eastAsia="zh-CN" w:bidi="ar-SA"/>
        </w:rPr>
        <w:t>根据农村产业、人口、资源、设施等</w:t>
      </w:r>
      <w:r>
        <w:rPr>
          <w:rFonts w:hint="eastAsia" w:eastAsia="方正仿宋_GBK" w:cstheme="minorBidi"/>
          <w:kern w:val="2"/>
          <w:sz w:val="32"/>
          <w:szCs w:val="32"/>
          <w:lang w:val="en-US" w:eastAsia="zh-CN" w:bidi="ar-SA"/>
        </w:rPr>
        <w:t>整体布局和综合配套情况</w:t>
      </w:r>
      <w:r>
        <w:rPr>
          <w:rFonts w:hint="eastAsia" w:eastAsia="方正仿宋_GBK" w:asciiTheme="minorHAnsi" w:hAnsiTheme="minorHAnsi" w:cstheme="minorBidi"/>
          <w:kern w:val="2"/>
          <w:sz w:val="32"/>
          <w:szCs w:val="32"/>
          <w:lang w:val="en-US" w:eastAsia="zh-CN" w:bidi="ar-SA"/>
        </w:rPr>
        <w:t>，鼓励</w:t>
      </w:r>
      <w:r>
        <w:rPr>
          <w:rFonts w:hint="eastAsia" w:eastAsia="方正仿宋_GBK" w:cstheme="minorBidi"/>
          <w:kern w:val="2"/>
          <w:sz w:val="32"/>
          <w:szCs w:val="32"/>
          <w:lang w:val="en-US" w:eastAsia="zh-CN" w:bidi="ar-SA"/>
        </w:rPr>
        <w:t>支持</w:t>
      </w:r>
      <w:r>
        <w:rPr>
          <w:rFonts w:hint="eastAsia" w:eastAsia="方正仿宋_GBK" w:asciiTheme="minorHAnsi" w:hAnsiTheme="minorHAnsi" w:cstheme="minorBidi"/>
          <w:kern w:val="2"/>
          <w:sz w:val="32"/>
          <w:szCs w:val="32"/>
          <w:lang w:val="en-US" w:eastAsia="zh-CN" w:bidi="ar-SA"/>
        </w:rPr>
        <w:t>镇街推进农村居民点建设</w:t>
      </w:r>
      <w:r>
        <w:rPr>
          <w:rFonts w:hint="eastAsia" w:eastAsia="方正仿宋_GBK" w:cstheme="minorBidi"/>
          <w:kern w:val="2"/>
          <w:sz w:val="32"/>
          <w:szCs w:val="32"/>
          <w:lang w:val="en-US" w:eastAsia="zh-CN" w:bidi="ar-SA"/>
        </w:rPr>
        <w:t>试点示范和机制探索。按照“一事一议”的原则，区财政适度给予镇街推进居民点建设工作经费（另行文明确）。区级有关部门向上积极争取居民点建设配套设施的补助政策</w:t>
      </w:r>
      <w:r>
        <w:rPr>
          <w:rFonts w:hint="eastAsia" w:eastAsia="方正仿宋_GBK" w:asciiTheme="minorHAnsi" w:hAnsiTheme="minorHAnsi" w:cstheme="minorBidi"/>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方正仿宋_GBK" w:cstheme="minorBidi"/>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 xml:space="preserve">第三十四条  </w:t>
      </w:r>
      <w:r>
        <w:rPr>
          <w:rFonts w:hint="eastAsia" w:ascii="方正楷体_GBK" w:hAnsi="方正楷体_GBK" w:eastAsia="方正楷体_GBK" w:cs="方正楷体_GBK"/>
          <w:kern w:val="2"/>
          <w:sz w:val="32"/>
          <w:szCs w:val="32"/>
          <w:lang w:val="en-US" w:eastAsia="zh-CN" w:bidi="ar-SA"/>
          <w14:textFill>
            <w14:gradFill>
              <w14:gsLst>
                <w14:gs w14:pos="0">
                  <w14:srgbClr w14:val="FE4444"/>
                </w14:gs>
                <w14:gs w14:pos="100000">
                  <w14:srgbClr w14:val="832B2B"/>
                </w14:gs>
              </w14:gsLst>
              <w14:lin w14:scaled="0"/>
            </w14:gradFill>
          </w14:textFill>
        </w:rPr>
        <w:t>【违法建设查处】</w:t>
      </w:r>
      <w:r>
        <w:rPr>
          <w:rFonts w:hint="eastAsia" w:eastAsia="方正仿宋_GBK" w:cstheme="minorBidi"/>
          <w:kern w:val="2"/>
          <w:sz w:val="32"/>
          <w:szCs w:val="32"/>
          <w:lang w:val="en-US" w:eastAsia="zh-CN" w:bidi="ar-SA"/>
        </w:rPr>
        <w:t>违反规定擅自改变乡村建设规划许可证及附件、附图进行建设的，区规划自然资源局负责查处。违反农村宅基地管理相关规定的，由区农业农村委负责查处。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kern w:val="2"/>
          <w:sz w:val="32"/>
          <w:szCs w:val="32"/>
          <w:lang w:val="en-US" w:eastAsia="zh-CN" w:bidi="ar-SA"/>
        </w:rPr>
        <w:t xml:space="preserve">第三十五条  </w:t>
      </w:r>
      <w:r>
        <w:rPr>
          <w:rFonts w:hint="eastAsia" w:ascii="方正楷体_GBK" w:hAnsi="方正楷体_GBK" w:eastAsia="方正楷体_GBK" w:cs="方正楷体_GBK"/>
          <w:kern w:val="2"/>
          <w:sz w:val="32"/>
          <w:szCs w:val="32"/>
          <w:lang w:val="en-US" w:eastAsia="zh-CN" w:bidi="ar-SA"/>
          <w14:textFill>
            <w14:gradFill>
              <w14:gsLst>
                <w14:gs w14:pos="0">
                  <w14:srgbClr w14:val="FE4444"/>
                </w14:gs>
                <w14:gs w14:pos="100000">
                  <w14:srgbClr w14:val="832B2B"/>
                </w14:gs>
              </w14:gsLst>
              <w14:lin w14:scaled="0"/>
            </w14:gradFill>
          </w14:textFill>
        </w:rPr>
        <w:t>【行政人员处理】</w:t>
      </w:r>
      <w:r>
        <w:rPr>
          <w:rFonts w:hint="eastAsia" w:eastAsia="方正仿宋_GBK" w:cstheme="minorBidi"/>
          <w:kern w:val="2"/>
          <w:sz w:val="32"/>
          <w:szCs w:val="32"/>
          <w:lang w:val="en-US" w:eastAsia="zh-CN" w:bidi="ar-SA"/>
        </w:rPr>
        <w:t>负责居民点规划建设管理的行政机关及其工作人员，有滥用职权、玩忽职守或者徇私舞弊的，依法给予处分；构成犯罪的，依法追究刑事责任。</w:t>
      </w:r>
      <w:r>
        <w:rPr>
          <w:rFonts w:hint="eastAsia" w:eastAsia="方正仿宋_GBK" w:cstheme="minorBidi"/>
          <w:kern w:val="2"/>
          <w:sz w:val="32"/>
          <w:szCs w:val="32"/>
          <w:lang w:val="en-US" w:eastAsia="zh-CN" w:bidi="ar-SA"/>
        </w:rPr>
        <w:br w:type="textWrapping"/>
      </w:r>
      <w:r>
        <w:rPr>
          <w:rFonts w:hint="eastAsia" w:eastAsia="方正仿宋_GBK" w:cstheme="minorBidi"/>
          <w:kern w:val="2"/>
          <w:sz w:val="32"/>
          <w:szCs w:val="32"/>
          <w:lang w:val="en-US" w:eastAsia="zh-CN" w:bidi="ar-SA"/>
        </w:rPr>
        <w:t xml:space="preserve">    </w:t>
      </w:r>
      <w:r>
        <w:rPr>
          <w:rFonts w:hint="eastAsia" w:ascii="方正楷体_GBK" w:hAnsi="方正楷体_GBK" w:eastAsia="方正楷体_GBK" w:cs="方正楷体_GBK"/>
          <w:kern w:val="2"/>
          <w:sz w:val="32"/>
          <w:szCs w:val="32"/>
          <w:lang w:val="en-US" w:eastAsia="zh-CN" w:bidi="ar-SA"/>
        </w:rPr>
        <w:t>本办法自印发之日起执行，其政策内容由区规划自然资源局、区农业农村委、区住房城乡建委根据职责分工负责解释。</w:t>
      </w:r>
    </w:p>
    <w:sectPr>
      <w:footerReference r:id="rId3" w:type="default"/>
      <w:pgSz w:w="11906" w:h="16838"/>
      <w:pgMar w:top="1984" w:right="1474"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0EF65A"/>
    <w:multiLevelType w:val="singleLevel"/>
    <w:tmpl w:val="4E0EF65A"/>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jZTk4NjA0MmY5NGE1MmQzNDE3YzM3ZWU3ZWM3NzgifQ=="/>
  </w:docVars>
  <w:rsids>
    <w:rsidRoot w:val="3B2514EA"/>
    <w:rsid w:val="00F907CF"/>
    <w:rsid w:val="016C71F3"/>
    <w:rsid w:val="01F1594A"/>
    <w:rsid w:val="02B56978"/>
    <w:rsid w:val="02D54924"/>
    <w:rsid w:val="03E5328D"/>
    <w:rsid w:val="06415503"/>
    <w:rsid w:val="065626EE"/>
    <w:rsid w:val="06EB0BBA"/>
    <w:rsid w:val="07BB058C"/>
    <w:rsid w:val="08623466"/>
    <w:rsid w:val="088A64CF"/>
    <w:rsid w:val="08D9293F"/>
    <w:rsid w:val="0A193E81"/>
    <w:rsid w:val="0AC57974"/>
    <w:rsid w:val="0B301291"/>
    <w:rsid w:val="0B536D2E"/>
    <w:rsid w:val="0C6E02C3"/>
    <w:rsid w:val="0DEB14A0"/>
    <w:rsid w:val="0EAE0E4B"/>
    <w:rsid w:val="0F9811B3"/>
    <w:rsid w:val="10C87CF5"/>
    <w:rsid w:val="11592BC4"/>
    <w:rsid w:val="12541D09"/>
    <w:rsid w:val="13217712"/>
    <w:rsid w:val="13806B2E"/>
    <w:rsid w:val="14AB464C"/>
    <w:rsid w:val="14ED3D4F"/>
    <w:rsid w:val="15A15D31"/>
    <w:rsid w:val="15BD5E17"/>
    <w:rsid w:val="16322361"/>
    <w:rsid w:val="17920BDE"/>
    <w:rsid w:val="18416F79"/>
    <w:rsid w:val="199B6470"/>
    <w:rsid w:val="1A9A6727"/>
    <w:rsid w:val="1AB71087"/>
    <w:rsid w:val="1BE7451B"/>
    <w:rsid w:val="1C597198"/>
    <w:rsid w:val="1D0A0188"/>
    <w:rsid w:val="1E047F72"/>
    <w:rsid w:val="1E672DC4"/>
    <w:rsid w:val="1EB12291"/>
    <w:rsid w:val="1EB3706C"/>
    <w:rsid w:val="1ECE699F"/>
    <w:rsid w:val="1EFD7285"/>
    <w:rsid w:val="1F6B0692"/>
    <w:rsid w:val="1F9F55C2"/>
    <w:rsid w:val="1FA767D9"/>
    <w:rsid w:val="20623843"/>
    <w:rsid w:val="21D40FD3"/>
    <w:rsid w:val="22737F8A"/>
    <w:rsid w:val="24E32A79"/>
    <w:rsid w:val="25042BC3"/>
    <w:rsid w:val="25ED1E01"/>
    <w:rsid w:val="26321F0A"/>
    <w:rsid w:val="2661347B"/>
    <w:rsid w:val="26A646AF"/>
    <w:rsid w:val="26DE18C6"/>
    <w:rsid w:val="27433CA3"/>
    <w:rsid w:val="27BF77CD"/>
    <w:rsid w:val="27CA645B"/>
    <w:rsid w:val="284B2E0F"/>
    <w:rsid w:val="29F02AF8"/>
    <w:rsid w:val="2A800B1B"/>
    <w:rsid w:val="2AE90203"/>
    <w:rsid w:val="2AF14C8F"/>
    <w:rsid w:val="2BE8721B"/>
    <w:rsid w:val="2C043A01"/>
    <w:rsid w:val="2C601B6C"/>
    <w:rsid w:val="2C6C59CB"/>
    <w:rsid w:val="2C963E81"/>
    <w:rsid w:val="2DCA2B52"/>
    <w:rsid w:val="2DDE2430"/>
    <w:rsid w:val="2E0C1292"/>
    <w:rsid w:val="2E5E7CA3"/>
    <w:rsid w:val="2FAD2601"/>
    <w:rsid w:val="310B47AA"/>
    <w:rsid w:val="31660CB9"/>
    <w:rsid w:val="319677F1"/>
    <w:rsid w:val="31EA3699"/>
    <w:rsid w:val="31FB58A6"/>
    <w:rsid w:val="3227669B"/>
    <w:rsid w:val="331B4680"/>
    <w:rsid w:val="331E1C6C"/>
    <w:rsid w:val="346B1503"/>
    <w:rsid w:val="34B00BC9"/>
    <w:rsid w:val="34B306BA"/>
    <w:rsid w:val="352356B7"/>
    <w:rsid w:val="356E302C"/>
    <w:rsid w:val="36A77DAA"/>
    <w:rsid w:val="38B30C88"/>
    <w:rsid w:val="390908A8"/>
    <w:rsid w:val="391334D5"/>
    <w:rsid w:val="39331DC9"/>
    <w:rsid w:val="39AB5E03"/>
    <w:rsid w:val="3A54709F"/>
    <w:rsid w:val="3A8125DA"/>
    <w:rsid w:val="3B2514EA"/>
    <w:rsid w:val="3B303EED"/>
    <w:rsid w:val="3B4A75B1"/>
    <w:rsid w:val="3B862684"/>
    <w:rsid w:val="3BB23479"/>
    <w:rsid w:val="3CD15B81"/>
    <w:rsid w:val="3DBD4357"/>
    <w:rsid w:val="3E532BB1"/>
    <w:rsid w:val="3F177A97"/>
    <w:rsid w:val="3F814139"/>
    <w:rsid w:val="3FC00006"/>
    <w:rsid w:val="3FFB4CC3"/>
    <w:rsid w:val="40632F94"/>
    <w:rsid w:val="409D1D08"/>
    <w:rsid w:val="40D73BA8"/>
    <w:rsid w:val="40EA12F8"/>
    <w:rsid w:val="41412BA9"/>
    <w:rsid w:val="415C1768"/>
    <w:rsid w:val="41946CC2"/>
    <w:rsid w:val="41CA4331"/>
    <w:rsid w:val="42F36125"/>
    <w:rsid w:val="42F8373B"/>
    <w:rsid w:val="43000F6E"/>
    <w:rsid w:val="432F3601"/>
    <w:rsid w:val="43DE0B83"/>
    <w:rsid w:val="44E95A32"/>
    <w:rsid w:val="4521341D"/>
    <w:rsid w:val="458E3E27"/>
    <w:rsid w:val="466049F7"/>
    <w:rsid w:val="46AA2F9F"/>
    <w:rsid w:val="46C20902"/>
    <w:rsid w:val="474E1D85"/>
    <w:rsid w:val="477737C9"/>
    <w:rsid w:val="47F171FF"/>
    <w:rsid w:val="49940662"/>
    <w:rsid w:val="49991E5C"/>
    <w:rsid w:val="49F61141"/>
    <w:rsid w:val="4AB34B18"/>
    <w:rsid w:val="4BF61160"/>
    <w:rsid w:val="4D2B308B"/>
    <w:rsid w:val="4DB322AA"/>
    <w:rsid w:val="4DF06083"/>
    <w:rsid w:val="4E0C3478"/>
    <w:rsid w:val="4E514CD7"/>
    <w:rsid w:val="50106568"/>
    <w:rsid w:val="50E93646"/>
    <w:rsid w:val="51420514"/>
    <w:rsid w:val="514B674C"/>
    <w:rsid w:val="51C413B8"/>
    <w:rsid w:val="51F77D06"/>
    <w:rsid w:val="52140592"/>
    <w:rsid w:val="52B458D1"/>
    <w:rsid w:val="530D6D8F"/>
    <w:rsid w:val="53395DD6"/>
    <w:rsid w:val="534959D8"/>
    <w:rsid w:val="535729F3"/>
    <w:rsid w:val="5394300C"/>
    <w:rsid w:val="53D855EF"/>
    <w:rsid w:val="5415414D"/>
    <w:rsid w:val="54EF0E42"/>
    <w:rsid w:val="553F77FC"/>
    <w:rsid w:val="55AA2FBB"/>
    <w:rsid w:val="55BB2B19"/>
    <w:rsid w:val="55EB71C9"/>
    <w:rsid w:val="5630526E"/>
    <w:rsid w:val="565C2507"/>
    <w:rsid w:val="56E267A1"/>
    <w:rsid w:val="570109B9"/>
    <w:rsid w:val="57020E55"/>
    <w:rsid w:val="57D12A81"/>
    <w:rsid w:val="58606AF0"/>
    <w:rsid w:val="58AE691E"/>
    <w:rsid w:val="592A2449"/>
    <w:rsid w:val="59684D1F"/>
    <w:rsid w:val="59A15635"/>
    <w:rsid w:val="5BB65344"/>
    <w:rsid w:val="5BF54751"/>
    <w:rsid w:val="5CC11316"/>
    <w:rsid w:val="5CD9561D"/>
    <w:rsid w:val="5D0905C7"/>
    <w:rsid w:val="5DF474C9"/>
    <w:rsid w:val="608E0BCF"/>
    <w:rsid w:val="611B3E90"/>
    <w:rsid w:val="6146003C"/>
    <w:rsid w:val="614C4F26"/>
    <w:rsid w:val="61504A17"/>
    <w:rsid w:val="61D206A2"/>
    <w:rsid w:val="624F2F20"/>
    <w:rsid w:val="62516C98"/>
    <w:rsid w:val="63343EC4"/>
    <w:rsid w:val="63C35974"/>
    <w:rsid w:val="6429050D"/>
    <w:rsid w:val="64F47DAF"/>
    <w:rsid w:val="65907AD8"/>
    <w:rsid w:val="65E47E23"/>
    <w:rsid w:val="66521231"/>
    <w:rsid w:val="66596D71"/>
    <w:rsid w:val="666B5E4F"/>
    <w:rsid w:val="668F25A6"/>
    <w:rsid w:val="66A15D14"/>
    <w:rsid w:val="66E225B5"/>
    <w:rsid w:val="675E61E8"/>
    <w:rsid w:val="6BDA5F51"/>
    <w:rsid w:val="6C97174C"/>
    <w:rsid w:val="6CD90EF0"/>
    <w:rsid w:val="6CEB5F3B"/>
    <w:rsid w:val="6E3D4575"/>
    <w:rsid w:val="6F751AEC"/>
    <w:rsid w:val="6FC969CA"/>
    <w:rsid w:val="704716DB"/>
    <w:rsid w:val="708A15C7"/>
    <w:rsid w:val="712902F9"/>
    <w:rsid w:val="71793B16"/>
    <w:rsid w:val="727A0E5E"/>
    <w:rsid w:val="72915C55"/>
    <w:rsid w:val="73345D5F"/>
    <w:rsid w:val="74387CB8"/>
    <w:rsid w:val="750B356A"/>
    <w:rsid w:val="77420E4E"/>
    <w:rsid w:val="788A485A"/>
    <w:rsid w:val="79982FA7"/>
    <w:rsid w:val="799E726C"/>
    <w:rsid w:val="7A887D2A"/>
    <w:rsid w:val="7ACA3634"/>
    <w:rsid w:val="7B98103C"/>
    <w:rsid w:val="7BAC4AE8"/>
    <w:rsid w:val="7BBA5457"/>
    <w:rsid w:val="7CC04CEF"/>
    <w:rsid w:val="7CE54755"/>
    <w:rsid w:val="7E372D8F"/>
    <w:rsid w:val="7E95680D"/>
    <w:rsid w:val="7F655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0"/>
    <w:rPr>
      <w:rFonts w:eastAsia="方正仿宋_GBK"/>
      <w:sz w:val="32"/>
    </w:rPr>
  </w:style>
  <w:style w:type="paragraph" w:customStyle="1" w:styleId="3">
    <w:name w:val="Body Text Indent"/>
    <w:basedOn w:val="1"/>
    <w:qFormat/>
    <w:uiPriority w:val="0"/>
    <w:pPr>
      <w:spacing w:after="120" w:afterLines="0"/>
      <w:ind w:left="200" w:leftChars="200"/>
    </w:pPr>
    <w:rPr>
      <w:rFonts w:eastAsia="宋体"/>
      <w:kern w:val="0"/>
      <w:sz w:val="20"/>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4104</Words>
  <Characters>4133</Characters>
  <Lines>0</Lines>
  <Paragraphs>0</Paragraphs>
  <TotalTime>4</TotalTime>
  <ScaleCrop>false</ScaleCrop>
  <LinksUpToDate>false</LinksUpToDate>
  <CharactersWithSpaces>4231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2023-09-22T07:49:00Z</dcterms:created>
  <dc:creator>Administrator</dc:creator>
  <cp:lastModifiedBy>喵喵喵</cp:lastModifiedBy>
  <dcterms:modified xsi:type="dcterms:W3CDTF">2023-09-27T03:59:00Z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D19770F715AA42F4AA223612876EA00E_11</vt:lpwstr>
  </property>
</Properties>
</file>